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ATAS/154/2020 vom 26. Februar 2020</w:t>
      </w:r>
    </w:p>
    <w:p>
      <w:r>
        <w:t>GE Cour de justice, 2020-02-26, FR</w:t>
      </w:r>
    </w:p>
    <w:p>
      <w:r>
        <w:rPr>
          <w:b/>
        </w:rPr>
        <w:t xml:space="preserve">Quelle: </w:t>
      </w:r>
      <w:r>
        <w:t>https://mcp.opencaselaw.ch/entscheid/ge_gerichte_ATAS_154_2020</w:t>
      </w:r>
    </w:p>
    <w:p>
      <w:r>
        <w:t>FR: GE_GERICHTE ATAS/154/2020 du 26 février 2020</w:t>
      </w:r>
    </w:p>
    <w:p>
      <w:r>
        <w:t>IT: GE_GERICHTE ATAS/154/2020 del 26 febbraio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délai de recours est de trente jours (art. 60 al. 1 LPGA et 62 al. 1 let. a de la loi sur la procédure administrative du 12 septembre 1985 [LPA - E 5 10]). Il court dès le lendemain de la notification de la décision (art. 38 al. 1 LPGA et 62 al. 3 LPA). Les délais en jours ou en mois fixés par la loi ou par l’autorité ne courent pas du 7ème jour avant Pâques au 7ème jour après Pâques inclusivement (art. 38 al. 4 let. a LPGA et art. 89C let. a LPA). Interjeté dans la forme et le délai prévus par la loi, le présent recours du 28 mai 2019 contre la décision sur opposition du 16 avril 2019 est recevable.</w:t>
      </w:r>
    </w:p>
    <w:p>
      <w:r>
        <w:rPr>
          <w:b/>
        </w:rPr>
        <w:t>E. 4</w:t>
      </w:r>
    </w:p>
    <w:p>
      <w:r>
        <w:t>a. L’objet du litige dans la procédure administrative contentieuse est le rapport juridique qui dans le cadre de l’objet de la contestation déterminé par la décision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Les questions qui, bien qu’elles soient visées par la décision administrative et fassent ainsi partie de l’objet de la contestation, ne sont plus litigieuses, d’après les conclusions du recours, et qui ne sont donc pas comprises dans l’objet du litige, ne sont examinées par le juge que s’il existe un rapport de connexité étroit entre les points non contestés et l’objet du litige (arrêt du Tribunal fédéral 9C_441/2008 du 10 juin 2009 consid. 2.2 et les références).</w:t>
      </w:r>
    </w:p>
    <w:p>
      <w:r>
        <w:t>A/2067/2019 - 8/20 - b. En l’occurrence, bien qu’intitulée « Refus de rente d’invalidité », la décision litigieuse porte sur le droit de la recourante à une rente, mais également à des mesures professionnelles. Eu égard aux conclusions de la recourante, le litige ne concerne que son droit à des mesures d’ordre professionnel.</w:t>
      </w:r>
    </w:p>
    <w:p>
      <w:r>
        <w:rPr>
          <w:b/>
        </w:rPr>
        <w:t>E. 5</w:t>
      </w:r>
    </w:p>
    <w:p>
      <w:r>
        <w:t>a. À teneur des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b.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ATF 114 V 310 consid. 3c ; RAMA 1996 n° U 237 p. 36 consid. 3b).</w:t>
      </w:r>
    </w:p>
    <w:p>
      <w:r>
        <w:rPr>
          <w:b/>
        </w:rPr>
        <w:t>E. 6</w:t>
      </w:r>
    </w:p>
    <w:p>
      <w:r>
        <w:t>a. Il existe principalement trois méthodes d'évaluation de l'invalidité, la méthode générale de comparaison des revenus, la méthode spécifique et la méthode mixte. Leur application dépend du statut du bénéficiaire potentiel de la rente : assuré exerçant une activité lucrative à temps complet, assuré n'exerçant pas d'activité lucrative et assuré en exerçant une à temps partiel (ATF 137 V 334 consid. 3.1). b.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w:t>
      </w:r>
    </w:p>
    <w:p>
      <w:r>
        <w:t>A/2067/2019 - 9/20 -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w:t>
      </w:r>
    </w:p>
    <w:p>
      <w:r>
        <w:t>A/2067/2019 - 10/20 -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ATF 123 V 150 consid. 2 et les références ; arrêt du Tribunal fédéral 8C_337/2009 du 18 février 2010 consid. 7.5).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 119 V 475 consid. 2b ; arrêt du Tribunal fédéral 8C_312/2016 du 13 mars 2017 consid. 5.4 ; arrêt du Tribunal fédéral des assurances I 43/05 du 30 juin 2006 consid. 5.2). Même s'il n'est pas indispensable de déterminer avec précision les salaires de références, il n'en demeure pas moins que, dans cette situation, l'évaluation de l'invalidité repose sur des données statistiques. Par conséquent, une réduction supplémentaire du revenu d'invalide (abattement) est possible en fonction des circonstances personnelles et professionnelles du cas particulier (cf. ATF 126 V 75 consid. 7b). c.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une telle enquête a valeur probante. d. Selon l’art. 27bis du règlement du 17 janvier 1961 sur l’assurance-invalidité du 17 janvier 1961 (RAI - RS 831.201), en vigueur depuis le 1er janvier 2018,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 b. le taux d'invalidité en lien avec les travaux habituels (al. 2). Le calcul du taux d'invalidité en lien avec l'activité lucrative est régi par</w:t>
      </w:r>
    </w:p>
    <w:p>
      <w:r>
        <w:t>A/2067/2019 - 11/20 - l'art. 16 LPGA, étant entendu que : a. le revenu que l'assuré aurait pu obtenir de l'activité lucrative exercée à temps partiel, s'il n'était pas invalide, est extrapolé pour la même activité lucrative exercée à plein temps ;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Sous l’empire de l’art. 27bis al. 2 à 4 RAI modifié, le calcul du taux d’invalidité pour la partie concernant l’activité lucrative demeure régi par l’art. 16 LPGA. L’élément nouveau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 Le taux d’invalidité en lien avec les travaux habituels est, comme c’était le cas auparavant, déterminé au moyen de la méthode de comparaison des types d’activités prévue à l’art. 28a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(cf. Ralph LEUENBERGER, Gisela MAURO, Changements dans la méthode mixte, in Sécurité sociale/CHSS n° 1/2018 p. 45).</w:t>
      </w:r>
    </w:p>
    <w:p>
      <w:r>
        <w:rPr>
          <w:b/>
        </w:rPr>
        <w:t>E. 7</w:t>
      </w:r>
    </w:p>
    <w:p>
      <w:r>
        <w:t>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L’art. 8 al. 3 let. b LAI dispose que les mesures de réadaptation comprennent les mesures d’ordre professionnel (orientation professionnelle, formation professionnelle initiale, reclassement, placement, aide en capital). En vertu de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Sont</w:t>
      </w:r>
    </w:p>
    <w:p>
      <w:r>
        <w:t>A/2067/2019 - 12/20 -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b.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environ (ATF 130 V 488 consid. 4.2 et les références).</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w:t>
      </w:r>
    </w:p>
    <w:p>
      <w:r>
        <w:t>A/2067/2019 - 13/20 -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w:t>
      </w:r>
    </w:p>
    <w:p>
      <w:r>
        <w:t>A/2067/2019 - 14/20 -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 ATF122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w:t>
      </w:r>
    </w:p>
    <w:p>
      <w:r>
        <w:rPr>
          <w:b/>
        </w:rPr>
        <w:t>E. 10</w:t>
      </w:r>
    </w:p>
    <w:p>
      <w:r>
        <w:t>De jurisprudence constante, le juge apprécie en règle générale la légalité des décisions entreprises d'après l'état de fait existant au moment où la décision litigieuse a été rendue (ATF 144 V 210 consid. 4.3.1 ; ATF 132 V 215 consid. 3.1.1). Les faits survenus postérieurement, et qui ont modifié cette situation, doivent en principe faire l'objet d'une nouvelle décision administrative</w:t>
      </w:r>
    </w:p>
    <w:p>
      <w:r>
        <w:t>A/2067/2019 - 15/20 - (ATF 144 V 210 consid. 4.3.1 ; ATF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w:t>
      </w:r>
    </w:p>
    <w:p>
      <w:r>
        <w:rPr>
          <w:b/>
        </w:rPr>
        <w:t>E. 11</w:t>
      </w:r>
    </w:p>
    <w:p>
      <w:r>
        <w:t>En l’espèce, l’intimé a retenu que la recourante se consacrait à 68% à son activité professionnelle et à 32% à l’accomplissement de ses travaux habituels dans le ménage. Il a estimé qu’elle présentait une pleine capacité de travail dans une activité adaptée et s’est fondé sur les mêmes tabelles statistiques pour la comparaison des revenus. Il a retenu un salaire sans invalidité de CHF 37'115.- et un salaire avec invalidité de CHF 33'403.-, soit une perte de gain de 10%, correspondant à un taux d’invalidité de 6,8% (68% x 10%), arrondi à 7%, taux insuffisant pour ouvrir le droit à des mesures d’ordre professionnel. Concernant la sphère ménagère, il a considéré qu’il n’était pas nécessaire de mettre en œuvre une enquête à domicile car le degré d’empêchement dans les travaux habituels n’avait pas d’influence sur le droit aux prestations.</w:t>
      </w:r>
    </w:p>
    <w:p>
      <w:r>
        <w:rPr>
          <w:b/>
        </w:rPr>
        <w:t>E. 12</w:t>
      </w:r>
    </w:p>
    <w:p>
      <w:r>
        <w:t>La chambre de céans observe en préambule que la position de la recourante est difficilement compréhensible, tant ses écritures contiennent des incohérences, voire des contradictions.</w:t>
      </w:r>
    </w:p>
    <w:p>
      <w:r>
        <w:rPr>
          <w:b/>
        </w:rPr>
        <w:t>E. 13</w:t>
      </w:r>
    </w:p>
    <w:p>
      <w:r>
        <w:t>a. Ainsi, en ce qui concerne la méthode d’évaluation de l’invalidité et la pondération des champs entre activité lucrative et accomplissement des travaux habituels, la recourante n’émet aucune critique concernant le statut mixte comprenant une part professionnelle de 68% et une part ménagère de 32%. Pourtant, elle reproche à l’intimé de ne pas avoir considéré, pour le calcul du degré d’invalidité, que le revenu sans invalidité portait sur une activité à « 60% ». Cette référence à une proportion de « 60% » résulte selon toute vraisemblance d’une inadvertance de la part de l’intéressée, dès lors que cette dernière ne remet pas explicitement en cause la répartition opérée par l’intimé et qu’elle ne livre aucune motivation qui justifierait de s’écarter du taux de 68% dans la sphère professionnelle. b. En outre, la recourante allègue avoir dû mettre un terme à son activité d’esthéticienne en 2012 en raison de ses problèmes de dos. Elle ne développe cependant pas la moindre argumentation à ce propos, de sorte que la chambre de céans peine à saisir si l’intéressée entend en tirer un quelconque grief. Cela étant, il sied de relever, d’une part, que la recourante a conclu, dans son écriture du 28 mai 2019, à ce que soit reconnue son incapacité d’exercer la profession d’esthéticienne depuis le 5 octobre 2016, et non pas depuis 2012. D’autre part, aucune pièce du dossier n’établit, au degré de la vraisemblance prépondérante requis, l’existence d’une atteinte à la santé antérieure à 2016 qui</w:t>
      </w:r>
    </w:p>
    <w:p>
      <w:r>
        <w:t>A/2067/2019 - 16/20 - aurait contraint la recourante à diminuer son taux d’activité dans la profession habituelle ou à changer de travail. c. Il y a donc lieu de confirmer le statut mixte comprenant une part professionnelle de 68% et une part ménagère de 32%, ce qui est conforme aux informations communiquées par l’OCE, à savoir que la recourante était inscrite au chômage avec un taux d’activité de 68% dès 2011.</w:t>
      </w:r>
    </w:p>
    <w:p>
      <w:r>
        <w:rPr>
          <w:b/>
        </w:rPr>
        <w:t>E. 14</w:t>
      </w:r>
    </w:p>
    <w:p>
      <w:r>
        <w:t>a. S’agissant de l’invalidité dans la part professionnelle, la recourante reproche à l’intimé de ne pas avoir considéré que le revenu sans invalidité concernait une activité à temps partiel. b. La chambre de céans constate que c'est à juste titre que l'intimé a déterminé le revenu sans invalidité sur la base des salaires statistiques, dès lors que la recourante n’avait plus travaillé depuis plusieurs années au moment du dépôt de sa demande de prestations en 2016. La référence au total TA1 (privé), pour une femme dans une activité de niveau 1 ne prête pas le flanc à la critique, étant rappelé que l’intéressée a exercé dans divers domaines d’activité. En ce qui concerne le montant à retenir, l’intimé aurait effectivement dû extrapoler le revenu pour une activité lucrative exercée à temps complet, conformément aux dispositions en vigueur depuis le 1er janvier 2018.</w:t>
      </w:r>
    </w:p>
    <w:p>
      <w:r>
        <w:rPr>
          <w:b/>
        </w:rPr>
        <w:t>E. 15</w:t>
      </w:r>
    </w:p>
    <w:p>
      <w:r>
        <w:t>a. Quant au revenu avec invalidité, la recourante n’a pas, dans son acte de recours du 28 mai 2019, remis en cause l’appréciation de l’intimé relative à une entière capacité de travail dans une activité adaptée. Elle n’a en outre élevé aucune critique à l’encontre du revenu avec invalidité fixé selon les données statistiques. Au contraire, elle a même repris, dans ses propres calculs, le montant déterminé à ce titre par l’intimé. Dans ces conditions, sa requête visant à la mise en œuvre d’une instruction médicale apparaît surprenante. En tout état de cause, la chambre de céans constate que de telles investigations ne se justifient pas et que la situation médicale est claire. En effet, les diagnostics énoncés par le Dr C______ dans son rapport du 10 août 2018, ainsi que les troubles mis en évidences par l’IRM du mois de juillet 2016, ne sont pas contestés. Il en va de même de l’incapacité de travail dans l’activité habituelle. Interrogé à maintes reprises sur la capacité de travail résiduelle et les éventuelles limitations fonctionnelles, le Dr C______ s’est contenté de rapporter l’appréciation de sa patiente, qui s’estimait apte à travailler à 50% dans la réception, sans livrer ses propres conclusions. Dans son avis du 25 novembre 2018, le SMR a dûment tenu compte des atteintes somatiques et des plaintes relatées par le médecin traitant. Il a estimé que la recourante pouvait exercer à temps complet une activité adaptée permettant le changement de position, qui n’impliquait pas le port de charges de plus de 5 kg, l’utilisation des membres supérieurs au-dessus de l’horizontale, les positions en hyper-extension ou hyper-flexion prolongée du cou, ou en porte à faux du rachis lombaire.</w:t>
      </w:r>
    </w:p>
    <w:p>
      <w:r>
        <w:t>A/2067/2019 - 17/20 - Aucun élément du dossier ne permet de douter du bien-fondé de ces conclusions. La recourante n’a d’ailleurs pas soutenu, lors de l’introduction de son recours, qu’elle serait incapable d’exercer un métier respectant les contre-indications précitées, lesquelles concernent exclusivement les colonnes lombaire et cervicale et consistent pour l’essentiel en de simples mesures d’épargne. b. Dans son écriture subséquente du 26 juillet 2019, la recourante a persisté dans ses conclusions, tout en semblant se prévaloir d’une aggravation de son état de santé. Elle a produit un bon de délégation du Dr C______ du 11 juillet 2019 pour un traitement d’ostéopathe, un certificat du 25 juillet 2019 du Dr C______ signalant la « progression » des atteintes de la recourante, précisant que les divers traitements n’avaient pas eu les effets escomptés et que la dernière activité exercée avait aggravé l’état de santé de sa patiente, et mentionnant une capacité de travail de l’ordre de 50% dans un travail adapté. Elle a également transmis les images des examens radiologiques réalisés le 25 juillet 2019. L’intéressée remet donc désormais en cause, à tout le moins implicitement, l’appréciation du SMR quant à sa capacité de travail résiduelle dans une activité adaptée. Ces documents, établis au mois de juillet 2019, sont postérieurs à la décision dont est recours et ne se rapportent pas à la situation antérieure, faute de le mentionner ou de contenir le moindre argument en ce sens. Ils ne sauraient donc être pris en considération dans le cadre du présent litige puisqu’il incombe à la chambre de céans d’apprécier la légalité de la décision entreprise d'après l'état de fait existant au moment où elle a été rendue. Enfin, l’attestation du 29 janvier 2019 de M. G______, aux termes de laquelle il avait régulièrement suivi la recourante entre décembre 2012 et septembre 2018 pour des « épisodes de blocages vertébraux associés à des processus inflammatoires musculaires » n’est pas propre à remettre en cause les conclusions du SMR quant à la pleine capacité de travail dans une activité adaptée. D’ailleurs, à l’époque où ce document a été rédigé, la recourante reconnaissait sans restriction aucune l’existence d’une capacité de travail à temps complet dans une activité adaptée, étant rappelé qu’elle a admis sans réserve, dans son recours du 28 mai 2019, le revenu avec invalidité retenu par l’intimé. c. Dans ces conditions, l’intimé pouvait, sur la base de l’appréciation du SMR, conclure que la recourante présentait, depuis 2016 au moins, une entière capacité de travail dans une activité adaptée. Enfin, le revenu d’invalide déterminé sur la base de l’ESS 2016, TA1 (privé), pour une femme, dans une activité de niveau 1, est conforme à la jurisprudence fédérale en la matière.</w:t>
      </w:r>
    </w:p>
    <w:p>
      <w:r>
        <w:rPr>
          <w:b/>
        </w:rPr>
        <w:t>E. 16</w:t>
      </w:r>
    </w:p>
    <w:p>
      <w:r>
        <w:t>a. La comparaison des revenus étant opérée sur la même base, il n’est pas nécessaire de chiffrer avec exactitude les revenus avec et sans invalidité puisqu’il est possible de fixer la perte de gain de la recourante directement sur la base de son incapacité de travail en faisant une comparaison en pourcent.</w:t>
      </w:r>
    </w:p>
    <w:p>
      <w:r>
        <w:t>A/2067/2019 - 18/20 - Dans le cas présent, l’intimé a appliqué une réduction de 10% en raison des limitations fonctionnelles, taux contre lequel la recourante ne fait valoir aucune objection. L’empêchement dans la sphère professionnelle est donc de 10%, soit le taux de l’abattement. Compte tenu de la part professionnelle de 68%, le degré d’invalidité est donc bien de 6,8% (10% x 68%), arrondi à 7%, b. On parvient naturellement au même résultat en appliquant le nouveau mode de calcul de la méthode mixte, réglé par l’art. 27bis al. 2 à 4 RAI en vigueur depuis le 1er janvier 2018. En effet, le revenu sans invalidité, extrapolé pour la même activité lucrative exercée à plein temps, doit être fixé à CHF 54'581.- (salaire mensuel de CHF 4'363.- selon l’ESS 2016 [TA1, secteur privé, femme, total], porté à CHF 4'548.- après adaptation à la durée normale hebdomadaire de travail [41,7 heures], puis annualisé). Quant au revenu avec invalidité, il se base sur le revenu présumé, compte tenu de la capacité résiduelle de travail raisonnablement exigible, soit CHF 49'123.- (salaire mensuel de CHF 4'363.- selon l’ESS 2016 [TA1, secteur privé, femme, total], porté à CHF 4'548.- après adaptation à la durée normale hebdomadaire de travail [41,7 heures], puis réduit de 10% en raison des limitations fonctionnelles, et annualisé). La perte de gain s’élève donc à CHF 5'458.- (CHF 54'581.- – CHF 49'123.-), soit 10% correspondant à un degré dans la sphère professionnelle de 6,8% (10% x 68%), arrondi à 7%.</w:t>
      </w:r>
    </w:p>
    <w:p>
      <w:r>
        <w:rPr>
          <w:b/>
        </w:rPr>
        <w:t>E. 17</w:t>
      </w:r>
    </w:p>
    <w:p>
      <w:r>
        <w:t>S’agissant de l’invalidité dans la part ménagère, il sied de relever que, dans le cadre de l'application de la méthode mixte d'évaluation de l'invalidité, il faut tenir compte du fait qu'il convient d'opérer une stricte séparation entre l'exercice d'une activité lucrative et l'accomplissement des travaux habituels et qu'une mesure de reclassement ne peut avoir d'effets que sur l'exercice de l'activité lucrative. Il s’ensuit que le degré d'invalidité minimal exigé par la jurisprudence ne doit être atteint que dans cette part d'activité et non résulter du degré d'invalidité globale, sauf à admettre que l'accomplissement des travaux habituels peut avoir une influence décisive sur la question de la réadaptation professionnelle (arrêt du Tribunal fédéral 9C_177/2015 du 18 septembre 2015 consid. 4.2 ; arrêt du Tribunal fédéral 9C_316/2010 du 12 avril 2011 consid. 4.2). En l’occurrence, le taux minimal exigé par la jurisprudence pour l’octroi d’une mesure de reclassement n’est de loin pas atteint, de sorte que la recourante n’a pas droit à une telle mesure. C’est donc à bon droit que l’intimé a renoncé à mettre en œuvre une enquête sur le ménage au domicile de la recourante.</w:t>
      </w:r>
    </w:p>
    <w:p>
      <w:r>
        <w:t>A/2067/2019 - 19/20 -</w:t>
      </w:r>
    </w:p>
    <w:p>
      <w:r>
        <w:rPr>
          <w:b/>
        </w:rPr>
        <w:t>E. 18</w:t>
      </w:r>
    </w:p>
    <w:p>
      <w:r>
        <w:t>Enfin, la recourante cite de nombreuses dispositions relatives à d’autres mesures d’ordre professionnel sans pour autant les requérir ou soutenir que les conditions d’octroi seraient en l’occurrence réalisées. À toutes fins utiles, la chambre de céans relèvera que des mesures de réadaptation n’apparaissent ni nécessaires, ni appropriées, au vu de la capacité de travail exigible dans une activité adaptée et du parcours professionnel de la recourante.</w:t>
      </w:r>
    </w:p>
    <w:p>
      <w:r>
        <w:rPr>
          <w:b/>
        </w:rPr>
        <w:t>E. 19</w:t>
      </w:r>
    </w:p>
    <w:p>
      <w:r>
        <w:t>Mal fondé, le recours est rejeté.</w:t>
      </w:r>
    </w:p>
    <w:p>
      <w:r>
        <w:rPr>
          <w:b/>
        </w:rPr>
        <w:t>E. 20</w:t>
      </w:r>
    </w:p>
    <w:p>
      <w:r>
        <w:t>Bien que la procédure ne soit pas gratuite en matière d'assurance-invalidité (art. 69 al. 1bis LAI), il convient de renoncer à la perception d'un émolument, la recourante étant au bénéfice de l'assistance juridique (art. 13 al. 1 du règlement sur les frais, émoluments et indemnités en procédure administrative du 30 juillet 1986 [RFPA - E 5 10.03]).</w:t>
      </w:r>
    </w:p>
    <w:p>
      <w:r>
        <w:t>A/2067/2019 - 20/20 -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