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ATAS/154/2019 vom 25. Februar 2019</w:t>
      </w:r>
    </w:p>
    <w:p>
      <w:r>
        <w:t>GE Cour de justice, 2019-02-25, FR</w:t>
      </w:r>
    </w:p>
    <w:p>
      <w:r>
        <w:rPr>
          <w:b/>
        </w:rPr>
        <w:t xml:space="preserve">Quelle: </w:t>
      </w:r>
      <w:r>
        <w:t>https://mcp.opencaselaw.ch/entscheid/ge_gerichte_ATAS_154_2019</w:t>
      </w:r>
    </w:p>
    <w:p>
      <w:r>
        <w:t>FR: GE_GERICHTE ATAS/154/2019 du 25 février 2019</w:t>
      </w:r>
    </w:p>
    <w:p>
      <w:r>
        <w:t>IT: GE_GERICHTE ATAS/154/2019 del 25 febbraio 2019</w:t>
      </w:r>
    </w:p>
    <w:p>
      <w:pPr>
        <w:pStyle w:val="Heading2"/>
      </w:pPr>
      <w:r>
        <w:t>Erwägungen</w:t>
      </w:r>
    </w:p>
    <w:p>
      <w:r>
        <w:rPr>
          <w:b/>
        </w:rPr>
        <w:t>E. 1</w:t>
      </w:r>
    </w:p>
    <w:p>
      <w:r>
        <w:t>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le recours étant dirigé contre une décision fondée sur la LAVS. b. À teneur de l’art. 1 al. 1 LAVS, les dispositions de la LPGA s’appliquent à l’AVS réglée dans la première parte, à moins que la LAVS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c. Le recours a été interjeté en temps utile (art. 60 LPGA), et satisfait aux exigences de forme et de contenu prévues par la loi (art. 61 let. b LPGA ; cf. aussi art. 89B de la loi sur la procédure administrative du 12 septembre 1985 - LPA - E 5 10). Touchée par ladite décision et ayant un intérêt digne de protection à son annulation ou sa modification la recourante a qualité pour recourir (art. 59 LPGA). Le recours est donc recevable.</w:t>
      </w:r>
    </w:p>
    <w:p>
      <w:r>
        <w:rPr>
          <w:b/>
        </w:rPr>
        <w:t>E. 2</w:t>
      </w:r>
    </w:p>
    <w:p>
      <w:r>
        <w:t>Il convient de déterminer préalablement l’objet du litige.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w:t>
      </w:r>
    </w:p>
    <w:p>
      <w:r>
        <w:t>A/738/2018 - 8/16 - acte de procédure au moins (ATF 130 V 501 consid. 1.2, ATF 122 V 34 consid. 2a et les références ; arrêt du Tribunal fédéral 9C_488/2012 consid. 3.1). Selon l'art. 53 al. 3 LPGA, l'assureur peut reconsidérer une décision ou une décision sur opposition contre laquelle un recours a été formé jusqu'à l'envoi de son préavis à l'autorité de recours (reconsidération pendente lite). En l'occurrence, c’est après le premier échange d’écritures que l’intimée a porté de CHF 1'140.- à CHF 2'280.- la somme sujette répétition. Ainsi, la voie de la reconsidération n'était plus ouverte et la nouvelle position de l’intimée, exprimée le 12 juin 2018, doit être considérée comme une simple proposition faite au juge (ATF 109 V 234 consid. 2 ; arrêt du Tribunal fédéral 9C_159/2007 du 3 octobre 2007, consid. 2 ; Ueli KIESER, ATSG- Kommentar, 3ème éd. 2015, n. 77 ad art. 53 LPGA). Aux termes de l'art. 61 let. d LPGA, le tribunal cantonal des assurances n'est pas lié par les conclusions des parties; il peut réformer, au détriment du recourant, la décision attaquée ou accorder à ce dernier plus qu'il n'avait demandé ; il doit cependant donner aux parties l'occasion de se prononcer ou de retirer le recours. Cette disposition formalise, de manière plus générale, la jurisprudence concernant le respect du droit d'être entendu dans l'éventualité d'une reformatio in pejus (arrêt du Tribunal fédéral des assurances C 259/03 du 13 février 2004, publié in: RJB 140/2004 p. 752 consid. 2 et les références). Ceci étant précisé, le litige porte sur le point de savoir si l’intimée est en droit de réclamer à la recourante la restitution de CHF 2'280.- que cette dernière a touché le 25 janvier 2018 à titre de supplément pour veuve de décembre 2016 à février 2018 (15 x CHF 228.- sous déduction de CHF 1'140.-) en sus de sa rente de vieillesse, portant ainsi la somme à restituer de CHF 1'140.- (initialement) à CHF 2'280.- au stade de la duplique. À l’instar de la reconsidération tardive qui sous-tend cette modification des conclusions de l’intimée, la question d’une éventuelle remise de la somme à restituer excède également l’objet de la contestation mais n’en reste pas moins étroitement liée à l’objet initial du litige. Dans la mesure où l’intimée s’est vu offrir, en cours de procédure, la possibilité de se prononcer sur la renonciation à toute restitution, le litige sera également étendu à cette question.</w:t>
      </w:r>
    </w:p>
    <w:p>
      <w:r>
        <w:rPr>
          <w:b/>
        </w:rPr>
        <w:t>E. 3</w:t>
      </w:r>
    </w:p>
    <w:p>
      <w:r>
        <w:t>a. Aux termes de l'art. 21 al. 1 let. b LAVS, les femmes qui ont atteint 64 ans révolus ont droit à une rente de vieillesse. Les veuves et veufs au bénéfice d'une rente de vieillesse ont droit à un supplément de 20 % sur leur rente. La rente et le supplément ne doivent pas dépasser le montant maximal de la rente de vieillesse (art. 35bis LAVS). Selon la jurisprudence, seuls les veuves et veufs proprement dits au sens de l'état civil (soit les personnes dont le mariage a été dissous par le décès de leur conjoint et qui ne se sont pas remariées) ont droit au supplément de 20 % sur la rente de vieillesse au sens de l'art. 35bis LAVS (ATF 128 V 5 consid. 3d). b. À teneur de l’art. 25 LPGA, les prestations indûment touchées doivent être restituées. La restitution ne peut être exigée lorsque l’intéressé était de bonne foi et</w:t>
      </w:r>
    </w:p>
    <w:p>
      <w:r>
        <w:t>A/738/2018 - 9/16 - qu’elle le mettrait dans une situation difficile (al. 1).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(cf. ATAS/1163/2014). Aux termes de l'art. 2 al. 1 let. a de l'ordonnance du 11 septembre 2002 sur la partie générale du droit des assurances sociales (OPGA – RS 830.11), l'obligation de restituer incombe non seulement au bénéficiaire des prestations allouées indûment, mais également à ses héritiers en cas de décès du bénéficiaire. Selon l’art. 3 OPGA, l'étendue de l'obligation de restituer est fixée par une décision (al. 1). L'assureur indique la possibilité d'une remise dans la décision en restitution (al. 2). L'assureur décide dans sa décision de renoncer à la restitution lorsqu'il est manifeste que les conditions d'une remise sont réunies (al. 3). Aux termes de l’art. 4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c. La procédure de restitution de prestations implique trois étapes en principe distinctes (la deuxième étant cependant souvent simultanée à la première), à savoir</w:t>
      </w:r>
    </w:p>
    <w:p>
      <w:r>
        <w:t>A/738/2018 - 10/16 - une première décision sur le caractère indu des prestations, c’est-à-dire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de l’ordonnance du 11 septembre 2002 sur la partie générale du droit des assurances sociales [OPGA – RS 830.11]; Ueli KIESER, op. cit., n. 9 ad art. 25 LPGA, p. 383) ; arrêt du Tribunal fédéral 9C_678/2011 du 4 janvier 2012 consid. 5.2). C’est n’est qu’une fois entrée en force la décision portant sur la restitution elle-même des prestations perçues indûment que sont examinées les deux conditions de la bonne foi et de l’exposition à une situation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LPGA, p. 392-393). En d’autres termes, l’art. 3 al. 3 OPGA ne constitue pas une « Kann- Vorschrift ». La renonciation qui y est prévue doit être ordonnée d’office – en une seule et même étape – lorsqu’il est manifeste que les conditions d’une remise sont réunies (cf. arrêt du Tribunal fédéral 9C_53/2014 du 20 août 2014 consid. 2). d. La « situation difficile » au sens de l’art. 25 al. 1, 2ème phrase LPGA est manifestement réalisée notamment lorsque la personne tenue à restitution est au bénéfice de prestations complémentaires (arrêt 9C_53/2014 précité consid. 4.3 ; cf. ég. Directives concernant les prestations complémentaires à l’AVS et à l’AI [DPC], état au 1er janvier 2018, ch. 4610.07). Pour admettre la « bonne foi » au sens de l’art. 25 al. 1, 2ème phrase LPGA, l’ignorance par le bénéficiaire des prestations du fait qu’il n’avait pas droit aux prestations ne suffit pas (ATF 110 V 176 consid. 3c). En outre,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On peut attendre d'un assuré qu'il décèle des erreurs manifestes et qu'il en fasse l'annonce à la caisse (cf. arrêt 9C_189/2012 du 21 août 2012 consid. 4 et les références). L'assuré peut en revanche invoquer sa bonne foi lorsque l'acte ou l'omission fautifs ne constituent qu'une violation légère de l'obligation d'annoncer ou de renseigner (cf. ATF 138 V 218 consid. 4 ; 112 V 97 consid. 2c et les références; arrêt du Tribunal fédéral 9C_638/2014 du 13 août 2015 consid. 4.2).</w:t>
      </w:r>
    </w:p>
    <w:p>
      <w:r>
        <w:t>A/738/2018 - 11/16 -</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En l’espèce, il ressort des pièces en possession de l’intimée au moment de la décision litigieuse que la recourante était divorcée depuis le 19 juin 2015. Ainsi, au moment du décès de son mari le ______ 2016, son mariage avait déjà été dissous par le divorce, l’empêchant ainsi d’être une veuve proprement dite et donc de pouvoir prétendre à un supplément de 20 % (au sens de l’art. 35bis LAVS) sur sa rente de vieillesse (cf. ci-dessus : consid. 3a). Il n’est pas contesté non plus qu’en divorçant de son mari, la recourante a perdu son statut d’héritière légale, que ce soit sous l’angle du droit hongrois ou du droit civil suisse (art. 120 al. 2 CC) et qu’ainsi, elle n’a pas acquis les droits et obligations de M. B______, dont l’obligation de restituer les prestations indûment touchées. Ainsi, la décision litigieuse était erronée dans la constatation des faits ou dans l’application du droit au moment où elle a été prise. C’est donc à mauvais escient que l’intimée a réclamé à la recourante, dans cette même décision, la restitution de la rente de vieillesse de CHF 1'140.- qui avait versée sur le compte bancaire de M. B______ en décembre 2016, après son décès (art. 2 al. 1 let. a OPGA a contrario). Et c’est non moins à tort que la décision litigieuse a octroyé, à la recourante, les arrérages du supplément pour veuve pour la période comprise entre décembre 2016 et février 2018 (15 x CHF 228.-, soit CHF 2'280.- après déduction de CHF 1'140.-). Sous réserve de la limite temporelle prévue par l’art. 53 al. 3 LPGA, l’intimée était ainsi fondée à reconsidérer ladite décision et de réclamer la restitution de la somme de CHF 2'280.-. Bien que la reconsidération qui sous-tend cette restitution soit intervenue tardivement, il se justifie, pour des motifs d’économie de procédure, d’étendre le litige à la restitution de la somme de CHF 2'280.- dans la mesure où cette question est intimement liée à l'objet initial du litige, a été largement débattue par les parties et est en état d’être jugée (cf. ci-dessus : consid. 2).</w:t>
      </w:r>
    </w:p>
    <w:p>
      <w:r>
        <w:rPr>
          <w:b/>
        </w:rPr>
        <w:t>E. 6</w:t>
      </w:r>
    </w:p>
    <w:p>
      <w:r>
        <w:t>a. À teneur de l’art. 25 al. 2 LPGA, le droit de demander la restitution s’éteint un an après le moment où l’institution d’assurance a eu connaissance du fait, mais au plus tard cinq ans après le versement de la prestation. Sur ce point, la</w:t>
      </w:r>
    </w:p>
    <w:p>
      <w:r>
        <w:t>A/738/2018 - 12/16 - réglementation prévue par la LPGA reprend, matériellement, le contenu des anciens articles 95 al. 4, 1ère phrase de la loi fédérale sur l'assurance-chômage obligatoire et l'indemnité en cas d'insolvabilité du 25 juin 1982 (loi sur l’assurance-chômage, LACI – RS 837.0) et 47 al. 2 1ère phrase LAVS notamment, en vigueur jusqu’au 31 décembre 2002. Selon la jurisprudence relative à ces dispositions, qu’il convient également d’appliquer à l’art. 25 al. 2 LPGA, le délai de péremption d’une année commence à courir dès le moment où l’assurance sociale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Ainsi le délai d'un an ne court pas à partir du moment où, en ayant fait preuve de diligence, elle a connaissance de faits qui pourraient éventuellement donner lieu à restitution, mais seulement dès qu'elle est informée de toutes les circonstances qui lui permettent d'exiger la restitution à l'égard d'une personne déterminée (Michel VALTERIO, Droit de l’assurance-vieillesse (AVS) et de l’assurance-invalidité (AI), n. 3260).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8C_968/2012 du 18 novembre 2013 consid. 2.2 et les références).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C.80/05 du 3 février 2006). Si on plaçait le moment de la connaissance du dommage à la date du versement indu, cela rendrait souvent illusoire la possibilité pour l'administration de réclamer le remboursement de prestations versées à tort en cas de faute de sa part (Michel VALTERIO, op. cit., n. 3258). Une décision de restitution prise dans les délais exclut une fois pour toute la péremption, quel que soit son sort en cas de contestation. En d'autres termes, une fois que la caisse de compensation a fait valoir la créance en temps utile et dans les formes requises, ce délai est sauvegardé une fois pour toutes (Michel VALTERIO,</w:t>
      </w:r>
    </w:p>
    <w:p>
      <w:r>
        <w:t>A/738/2018 - 13/16 - op. cit., n. 3255). L'art. 25 al. 2 LPGA poursuit un double but, à savoir obliger l'administration à faire preuve de diligence et protéger l'assuré au cas où celle-ci manquerait à ce devoir (Michel VALTERIO, op. cit., n. 3257). b. En l’occurrence, il ressort du dossier que M. B______ a fait savoir à l’intimée, par courrier du 13 juillet 2015, qu’aucun changement ne ressortait du « certificat d’existence en vie » qu’il avait adressé précédemment à cette dernière ; il n’était en possession ni d’un acte de décès de son épouse, ni de la copie du jugement de divorce et de l’attestation d’entrée en force de celui-ci. Cependant, dès qu’un changement se produirait, il en informerait l’intimée sans détour. Le 17 juillet 2015, l’intimée a répondu à ce courrier en adressant un décompte à M. B______ pour la période de mai à juillet 2015, précisant qu’au vu de l’absence de modification de son état civil, un montant de CHF 3'420.- lui serait versé en août 2015. Suite à cette communication, la recourante a adressé à l’intimée, le 28 juillet 2015, une copie du jugement de divorce et de l’attestation d’entrée en force de celui-ci, documents tous deux rédigés en hongrois que l’intimée a reçus le 3 août 2015 et ajoutés au dossier, apparemment sans les traiter. Selon l’intimée, le délai de péremption d’une année n’aurait commencé à courir ni à la réception du jugement de divorce ni à compter du versement erroné le 25 janvier 2018 mais à partir du 12 février 2018, date à laquelle elle aurait dû se rendre compte du changement d’état civil de la recourante dans le contexte du passage de cette dernière à ses guichets. Ce point de vue apparaît correct dans la mesure où l’intimée aurait effectivement dû consulter, à cette occasion, le dossier en sa possession et procéder, au besoin, à des investigations complémentaires. En revanche, l’intimée ne mérite pas d’être suivie en tant qu’elle soutient que la recourante se serait rendue auprès d’elle le 12 février 2018 pour y attester sur l’honneur qu’elle était veuve. En effet, une telle assertion reviendrait à occulter le fait que l’intimée n’était en possession, à cette époque, que d’une copie de l’acte de décès de M. B______ – mentionnant que celui-ci était divorcé –, reçue peu après le 17 février 2017, et que les démarches que la recourante a entreprises après la décision sur opposition du 31 janvier 2018, une fois surmontées les suites de son hospitalisation du 23 février 2018, pour se procurer et faire traduire en allemand, le 16 avril 2018, l’attestation d’entrée en force du jugement de divorce s’inscrivent, au vu de l’ensemble des faits, dans un processus cohérent et désintéressé visant à faire toute la lumière sur sa situation réelle – et celle de M. B______ dont il n’est pas contesté qu’elle était sans nouvelles de lui entre 1980 et la décision de restitution du</w:t>
      </w:r>
    </w:p>
    <w:p>
      <w:r>
        <w:rPr>
          <w:b/>
        </w:rPr>
        <w:t>E. 7</w:t>
      </w:r>
    </w:p>
    <w:p>
      <w:r>
        <w:t>Reste à déterminer s’il y a lieu de renoncer d’emblée à la restitution de cette somme en application de l’art. 3 al. 3 OPGA. En l’occurrence, il est établi que la recourante est au bénéfice de prestations complémentaires. Il n’est pas contesté non plus que la condition de la « situation difficile » est ainsi manifestement réalisée (cf. ci-dessus : consid. 3d). En revanche, l’intimée s’oppose à ce qu’il soit renoncé d’office à la restitution de CHF 2'280.-, motif pris que lors de son passage à la CSC le 12 février 2018, la recourante aurait déjà eu un doute au sujet de son état civil, doute que la bonne foi commandait de signaler à l’intimée au cours de l’entretien qu’elle avait eu avec un collaborateur. Au lieu de quoi, elle avait certifié sur l’honneur qu’elle était veuve. Contestant vigoureusement le fait de s’être rendue dans les locaux de l’intimée pour certifier sur l’honneur que son état civil actuel était veuve, la recourante soutient au contraire que sa visite avait pour objet de demander de l’aide pour remplir au mieux le certificat d’existence en vie, d’état civil et de domicile qu’elle avait commencé à compléter le 24 janvier 2018 en indiquant qu’elle était divorcée. L’employé rencontré sur place ne lui aurait pas permis de consulter le dossier de M. B______ et lui aurait répondu que le seul document valide et qui faisait foi était la décision de l’intimée et non des documents hongrois. En outre, ce même employé, après discussion téléphonique avec un collègue ou supérieur, lui aurait soumis le formulaire « d’attestation sur l’honneur » en lui faisant comprendre qu’il n’y avait pas d’alternative au fait de signer ce document puisque l’intimée avait reconnu son statut de veuve. Concernant ce dernier point, l’intimée soutient au contraire qu’il serait attentatoire à l’honneur et sans fondement de prétendre que la recourante aurait été contrainte de signer cette déclaration par le gestionnaire clients en poste aux visites le 12 février 2018. S’il est vrai que le terme « contrainte » est vraisemblablement inapproprié, il n’en demeure pas moins, pour les motifs exposés plus haut (cf. ci-desssus : consid. 6b), que la signature de cette déclaration sur l’honneur n’apparaît pas comme étant la finalité de la visite du 12 février 2018 mais bien plus comme le résultat de l’attitude d’un collaborateur qui visait à accorder les faits (le soi-disant statut de veuve) avec le droit (la décision sur opposition du 31 janvier 2018) au lieu de l’inverse, et ce en réponse aux doutes dont la recourante était précisément venue faire part à l’intimée au sujet de son état civil, comme en atteste le « certificat d’existence en vie, d’état civil et de domicile » qu’elle a partiellement complété le 24 janvier 2018 et à propos duquel elle allègue avoir requis l’assistance de l’intimée le 12 février 2018. Cette dernière affirmation apparaît tout à fait crédible dès lors que la recourante ne s’est pas du tout satisfaite de la « déclaration sur l’honneur » que l’intimée lui avait soumise et qu’elle a continué, une fois sa santé recouvrée, à vouloir faire la lumière sur son véritable état civil – avec succès – en se procurant et en faisant traduire une copie de l’attestation d’entrée en force du jugement de divorce, témoignant ainsi d’une loyauté et d’une correction absolue dans ses rapports avec l’administration et la justice. Dans ces circonstances, il est hors de</w:t>
      </w:r>
    </w:p>
    <w:p>
      <w:r>
        <w:t>A/738/2018 - 15/16 - propos que l’intimée reproche à la recourante d’avoir fait preuve de mauvaise foi en s’abstenant de faire part des doutes qu’elle éprouvait au sujet de son état civil. La bonne foi de la recourante étant au contraire manifeste, il convient de renoncer à ordonner la restitution de la somme de CHF 2'280.-.</w:t>
      </w:r>
    </w:p>
    <w:p>
      <w:r>
        <w:rPr>
          <w:b/>
        </w:rPr>
        <w:t>E. 8</w:t>
      </w:r>
    </w:p>
    <w:p>
      <w:r>
        <w:t>Au vu de ce qui précède, le recours sera admis, la décision litigieuse réformée, en ce sens que la recourante doit la somme de CHF 2'280.- mais est dispensée de sa restitution à l’intimée.</w:t>
      </w:r>
    </w:p>
    <w:p>
      <w:r>
        <w:rPr>
          <w:b/>
        </w:rPr>
        <w:t>E. 9</w:t>
      </w:r>
    </w:p>
    <w:p>
      <w:r>
        <w:t>Obtenant gain de cause mais non représentée par un conseil, la recourante n’a pas droit à des dépens (art. 61 let. g LPGA ; Ueli KIESER, op. cit. n. 196 ad art. 61 LPGA et les références). Pour le surplus, la procédure est gratuite (art. 61 let. a LPGA).</w:t>
      </w:r>
    </w:p>
    <w:p>
      <w:r>
        <w:t>*****</w:t>
      </w:r>
    </w:p>
    <w:p>
      <w:r>
        <w:t>A/738/2018 - 16/16 -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