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ATAS/154/2016 vom 29. Februar 2016</w:t>
      </w:r>
    </w:p>
    <w:p>
      <w:r>
        <w:t>GE Cour de justice, 2016-02-29, FR</w:t>
      </w:r>
    </w:p>
    <w:p>
      <w:r>
        <w:rPr>
          <w:b/>
        </w:rPr>
        <w:t xml:space="preserve">Quelle: </w:t>
      </w:r>
      <w:r>
        <w:t>https://mcp.opencaselaw.ch/entscheid/ge_gerichte_ATAS_154_2016</w:t>
      </w:r>
    </w:p>
    <w:p>
      <w:r>
        <w:t>FR: GE_GERICHTE ATAS/154/2016 du 29 février 2016</w:t>
      </w:r>
    </w:p>
    <w:p>
      <w:r>
        <w:t>IT: GE_GERICHTE ATAS/154/2016 del 29 febbraio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Il convient de déterminer si l’intimé est entré en matière sur la requête en reconsidération de la décision entrée en force du 16 octobre 2012, condition préalable à l’examen du recours sur le fond.</w:t>
      </w:r>
    </w:p>
    <w:p>
      <w:r>
        <w:rPr>
          <w:b/>
        </w:rPr>
        <w:t>E. 4</w:t>
      </w:r>
    </w:p>
    <w:p>
      <w:r>
        <w:t>a. Selon l'art. 53 al. 2 LPGA, l'assureur peut revenir sur les décisions formellement passées en force lorsqu'elles sont manifestement erronées et que leur rectification revêt une importance notable.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w:t>
      </w:r>
    </w:p>
    <w:p>
      <w:r>
        <w:t>A/2395/2015 - 7/12 -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 b. De jurisprudence constante, l'administration n'est pas tenue de reconsidérer les décisions; elle en a simplement la faculté et ni l'assuré ni le juge ne peuvent l'y contraindre (ATF 117 V 8 consid. 2a p. 12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p. 13, 116 V 62; Meyer-Blaser, Die Bedeutung von Art. 4 Bundesverfassung für das Sozialversicherungsrecht, RDS 111 [1992] II 443 sv.).</w:t>
      </w:r>
    </w:p>
    <w:p>
      <w:r>
        <w:rPr>
          <w:b/>
        </w:rPr>
        <w:t>E. 5</w:t>
      </w:r>
    </w:p>
    <w:p>
      <w:r>
        <w:t>La chambre de céans constate que l'intimé a examiné de manière détaillée, dans son courrier du 5 juin 2015, les arguments soulevés par le père du recourant à l'appui de sa requête. Il a exposé que les conditions d’une reconsidération n’étaient pas remplies, dès lors qu’il avait fixé le début du droit au versement de l’allocation pour</w:t>
      </w:r>
    </w:p>
    <w:p>
      <w:r>
        <w:t>A/2395/2015 - 8/12 - impotent conformément à l’art. 48 al. 1 LAI. Il a également contesté avoir failli à son devoir de conseil et d’instruction, relevant qu’en 2008, l’assuré pouvait marcher. Ses difficultés pour les marches prolongées n’avaient été signalées qu’en 2011, de sorte que la demande devait être rejetée. Au regard des critères posés par la jurisprudence, on peut admettre que l’intimé est entré en matière sur la demande de reconsidération. Le refus signifié le 5 juin 2015 était dès lors susceptible d’être attaqué par un recours, quand bien même l’intimé n’avait pas fait mention des voies de droit. Partant, il convient d’examiner si c’est à juste titre que ce dernier a refusé de reconsidérer sa décision entrée en force du 16 octobre 2012.</w:t>
      </w:r>
    </w:p>
    <w:p>
      <w:r>
        <w:rPr>
          <w:b/>
        </w:rPr>
        <w:t>E. 6</w:t>
      </w:r>
    </w:p>
    <w:p>
      <w:r>
        <w:t>a. Le père du recourant soutient que cette décision est manifestement erronée en tant qu’elle fixe le début du droit au versement de l’allocation pour impotent au</w:t>
      </w:r>
    </w:p>
    <w:p>
      <w:r>
        <w:rPr>
          <w:b/>
        </w:rPr>
        <w:t>E. 11</w:t>
      </w:r>
    </w:p>
    <w:p>
      <w:r>
        <w:t>Au vu de ce qui précède, l’intimé n’a pas commis d’erreur manifeste en fixant le début du droit au versement de l’allocation pour impotent une année avant le dépôt de la demande formelle auprès de l’OAI. Les conditions d’une reconsidération de la décision du 16 octobre 2012 ne sont donc pas remplies.</w:t>
      </w:r>
    </w:p>
    <w:p>
      <w:r>
        <w:rPr>
          <w:b/>
        </w:rPr>
        <w:t>E. 12</w:t>
      </w:r>
    </w:p>
    <w:p>
      <w:r>
        <w:t>Pour le surplus, le père de l’assuré ne se prévaut d’aucun fait nouveau découvert subséquemment à la décision susmentionnée. Il n’y a donc pas matière à révision au sens de l’art. 53 al. 1 LPGA.</w:t>
      </w:r>
    </w:p>
    <w:p>
      <w:r>
        <w:rPr>
          <w:b/>
        </w:rPr>
        <w:t>E. 13</w:t>
      </w:r>
    </w:p>
    <w:p>
      <w:r>
        <w:t>Mal fondé, le recours est rejeté. La procédure n’étant pas gratuite (art. 69 al. 1bis LAI), il y a lieu de condamner le recourant au paiement d'un émolument de CHF 200.-.</w:t>
      </w:r>
    </w:p>
    <w:p>
      <w:r>
        <w:t>A/2395/2015 - 12/12 -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