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ATAS/153/2023 vom 9. März 2023</w:t>
      </w:r>
    </w:p>
    <w:p>
      <w:r>
        <w:t>GE Cour de justice, 2023-03-09, FR</w:t>
      </w:r>
    </w:p>
    <w:p>
      <w:r>
        <w:rPr>
          <w:b/>
        </w:rPr>
        <w:t xml:space="preserve">Quelle: </w:t>
      </w:r>
      <w:r>
        <w:t>https://mcp.opencaselaw.ch/entscheid/ge_gerichte_ATAS_153_2023</w:t>
      </w:r>
    </w:p>
    <w:p>
      <w:r>
        <w:t>FR: GE_GERICHTE ATAS/153/2023 du 9 mars 2023</w:t>
      </w:r>
    </w:p>
    <w:p>
      <w:r>
        <w:t>IT: GE_GERICHTE ATAS/153/2023 del 9 marzo 2023</w:t>
      </w:r>
    </w:p>
    <w:p>
      <w:pPr>
        <w:pStyle w:val="Heading2"/>
      </w:pPr>
      <w:r>
        <w:t>Erwägungen</w:t>
      </w:r>
    </w:p>
    <w:p>
      <w:r>
        <w:rPr>
          <w:b/>
        </w:rPr>
        <w:t>E. 6</w:t>
      </w:r>
    </w:p>
    <w:p>
      <w:r>
        <w:t>juillet 2022.</w:t>
      </w:r>
    </w:p>
    <w:p>
      <w:r>
        <w:t>A/2449/2018 - 6/8 - Que la défenderesse a transmis ceux qu'elle a retrouvés dans ses archives ; Que SANTÉSUISSE s'y est en revanche opposée, faisant valoir que les recherches pour les retrouver seraient longues, coûteuses et disproportionnées ; qu'elle persiste ainsi dans la position qu'elle avait adoptée dans le cadre de la procédure cantonale, selon laquelle il appartient à la défenderesse et à elle seule d'apporter la preuve de l'existence des autorisations, d'une part, et qu'aucune base de données avec ces informations n'existant, elle aurait le cas échéant à procéder à des recherches disproportionnées, d'autre part ; Qu'il y a toutefois lieu de rappeler que, dans son arrêt du 24 juin 2022 (9C_180/2021), le Tribunal fédéral a reproché au tribunal de céans de n'avoir pas instruit plus avant, compte tenu des affirmations de la défenderesse selon lesquelles plusieurs de ses patients s'étaient vu délivrer par les demanderesses des garanties de prise en charge durant l'année en question ; qu'il a considéré que le tribunal de céans ne pouvait se borner à invoquer les règles sur le fardeau de la preuve, celles-ci ne s'appliquant que s'il s'avère impossible, dans le cadre de la maxime inquisitoire, d'établir un état de fait qui correspond à la réalité, au degré de la vraisemblance prépondérante ; qu'il a, à cet égard, considéré comme établi le fait que les demanderesses n'avaient jamais prétendu ne pas avoir délivré de garanties de prise en charge ou ne pas être en mesure de les produire et retenu que la défenderesse n'était quant à elle pas, ou plus, en possession des garanties ; Que force est de constater que, malgré l'arrêt du Tribunal fédéral, dont le considérant est clair et ne souffre d'aucune autre interprétation, et malgré le courrier du tribunal de céans adressé aux parties le 6 juillet 2022, SANTÉSUISSE a maintenu son refus ; Qu'il reste dès lors à ordonner à SANTÉSUISSE de produire l'ensemble des garanties de prise en charge accordées par les demanderesses à la défenderesse pour les traitements dispensés durant l'année 2016, étant rappelé qu'il est essentiel pour le Tribunal de céans d'en prendre connaissance ; Qu'il est indéniable qu'il s'agit là d'une tâche importante ; qu'il est vrai que le devoir de collaborer n'existe que dans la mesure où cela est raisonnablement exigible (ATF 9C_180/2021 consid. 4 ; ATF K 150/03 consid. 5.1) ; qu'il convient toutefois de relever que les demanderesses disposent très vraisemblablement des outils informatiques et statistiques nécessaires ; que les recherches à effectuer n'apparaissent ainsi nullement insurmontables ; que dans son arrêt du 24 juin 2022 (9C_180/2021), le Tribunal fédéral a implicitement admis que de telles recherches étaient possibles ; Que la défenderesse a conclu à l'irrecevabilité de la demande en restitution du</w:t>
      </w:r>
    </w:p>
    <w:p>
      <w:r>
        <w:rPr>
          <w:b/>
        </w:rPr>
        <w:t>E. 11</w:t>
      </w:r>
    </w:p>
    <w:p>
      <w:r>
        <w:t>juillet 2018, au motif que SANTÉSUISSE refuse de collaborer aux mesures d'instruction requises ; Qu'aux termes de l'art. 22 LPA en effet, « les parties sont tenues de collaborer à la constatation des faits dans les procédures qu'elles introduisent elles-mêmes. » ;</w:t>
      </w:r>
    </w:p>
    <w:p>
      <w:r>
        <w:t>A/2449/2018 - 7/8 - Que l'art. 24 LPA précise que : 1 L’autorité peut inviter les parties à la renseigner, notamment en produisant les pièces en leur possession ou à se prononcer sur les faits constatés ou allégués et leur fixer un délai à cet effet. 2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Qu’à ce stade toutefois, SANTÉSUISSE ne saurait être que rendue attentive aux conséquences de son absence de collaboration prévues par les articles 22 et 24 al. 2 LPA (ATAS 373/2017 ; ATAS 624/2005) ;</w:t>
      </w:r>
    </w:p>
    <w:p>
      <w:r>
        <w:t>A/2449/2018 - 8/8 -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