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ATAS/153/2022 vom 18. Februar 2022</w:t>
      </w:r>
    </w:p>
    <w:p>
      <w:r>
        <w:t>GE Cour de justice, 2022-02-18, FR</w:t>
      </w:r>
    </w:p>
    <w:p>
      <w:r>
        <w:rPr>
          <w:b/>
        </w:rPr>
        <w:t xml:space="preserve">Quelle: </w:t>
      </w:r>
      <w:r>
        <w:t>https://mcp.opencaselaw.ch/entscheid/ge_gerichte_ATAS_153_2022</w:t>
      </w:r>
    </w:p>
    <w:p>
      <w:r>
        <w:t>FR: GE_GERICHTE ATAS/153/2022 du 18 février 2022</w:t>
      </w:r>
    </w:p>
    <w:p>
      <w:r>
        <w:t>IT: GE_GERICHTE ATAS/153/2022 del 18 febbraio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t>A/3654/2020 - 6/21 -</w:t>
      </w:r>
    </w:p>
    <w:p>
      <w:r>
        <w:rPr>
          <w:b/>
        </w:rPr>
        <w:t>E. 3</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4</w:t>
      </w:r>
    </w:p>
    <w:p>
      <w:r>
        <w:t>Le délai de recours est de trente jours (art. 56 LPGA ; art. 62 al. 1 de la loi sur la procédure administrative du 12 septembre 1985 [LPA - E 5 10]). Interjeté dans la forme et le délai prévus par la loi, le recours est recevable.</w:t>
      </w:r>
    </w:p>
    <w:p>
      <w:r>
        <w:rPr>
          <w:b/>
        </w:rPr>
        <w:t>E. 5</w:t>
      </w:r>
    </w:p>
    <w:p>
      <w:r>
        <w:t>Le litige porte sur le droit de la recourante à des prestations de la part de l’intimé.</w:t>
      </w:r>
    </w:p>
    <w:p>
      <w:r>
        <w:rPr>
          <w:b/>
        </w:rPr>
        <w:t>E. 6</w:t>
      </w:r>
    </w:p>
    <w:p>
      <w:r>
        <w:t>Conformément aux art. 8 al. 1 LPGA et 4 al. 1 LAI,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6.1</w:t>
      </w:r>
    </w:p>
    <w:p>
      <w:r>
        <w:t>En vertu de l'art. 28 al. 1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L'art. 28 al. 2 LAI dispose que l'assuré a droit à une rente entière s'il est invalide à 70% au moins, à trois-quarts de rente s'il est invalide à</w:t>
      </w:r>
    </w:p>
    <w:p>
      <w:r>
        <w:t>A/3654/2020 - 7/21 - 60% au moins, à une demi-rente s'il est invalide à 50% au moins ou à un quart de rente s'il est invalide à 40% au moins.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 RAMA 1996 n° U 237 p. 36 consid. 3b).</w:t>
      </w:r>
    </w:p>
    <w:p>
      <w:r>
        <w:rPr>
          <w:b/>
        </w:rPr>
        <w:t>E. 6.2</w:t>
      </w:r>
    </w:p>
    <w:p>
      <w:r>
        <w:t>Tant lors de l'examen initial du droit à la rente qu'à l'occasion d'une révision de celle-ci (art. 17 LPGA), il convient d'examiner quelle est la méthode d'évaluation de l'invalidité qu'il s'agit d'appliquer. Le choix de l'une des trois méthodes reconnues, soit la méthode générale de comparaison des revenus (art. 28a al. 1 LAI en corrélation avec l'art. 16 LPGA), la méthode spécifique (art. 28a al. 2 LAI en corrélation avec les art. 27 du règlement sur l'assurance- invalidité [RAI - RS 831.201] et 8 al. 3 LPGA), ou la méthode mixte (art. 28a al. 3 LAI en corrélation avec l'art. 27bis RAI, ainsi que les art. 16 LPGA et 28a al. 2 LAI en corrélation avec les art. 27 RAI et 8 al. 3 LPGA) dépendra du statut du bénéficiaire potentiel de la rente : assuré exerçant une activité lucrative à temps complet, assuré non actif, assuré exerçant une activité lucrative à temps partiel (arrêt du Tribunal fédéral 9C_82/2016 du 9 juin 2016 consid. 3.2).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 ATF 117 V 194 consid. 3b ; Pratique VSI 1997 p. 301 ss consid. 2b ; arrêt du Tribunal fédéral 9C_722/2016 du 17 février 2017 consid. 2.2). Cette évaluation tiendra également compte de la volonté hypothétique de l'assuré,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w:t>
      </w:r>
    </w:p>
    <w:p>
      <w:r>
        <w:t>A/3654/2020 - 8/21 - (ATF 141 V 15 consid. 3.1 ; ATF 137 V 334 consid. 3.2 ; ATF 125 V 146 consid. 2c ainsi que les références).</w:t>
      </w:r>
    </w:p>
    <w:p>
      <w:r>
        <w:rPr>
          <w:b/>
        </w:rPr>
        <w:t>E. 6.2.1</w:t>
      </w:r>
    </w:p>
    <w:p>
      <w:r>
        <w:t>Selon l’art. 27bis RAI en vigueur depuis le 1er janvier 2018, pour les personnes qui exercent une activité lucrative à temps partiel et accomplissent par ailleurs des travaux habituels visés à l'art. 7 al. 2 LAI, le taux d'invalidité est déterminé par l'addition des taux suivants : a. le taux d'invalidité en lien avec l'activité lucrative ;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Sous l’empire de l’art. 27bis al. 2 à 4 RAI modifié, le calcul du taux d’invalidité pour la partie concernant l’activité lucrative demeure régi par l’art. 16 LPGA. L’élément nouveau est que le revenu sans invalidité n’est plus déterminé sur la base du revenu correspondant au taux d’occupation de l’assuré, mais est désormais extrapolé pour la même activité lucrative exercée à plein temps. La détermination du revenu d’invalide est, quant à elle, inchangée. La perte de gain exprimée en pourcentage du revenu sans invalidité est ensuite pondérée au moyen du taux d’occupation auquel l’assuré travaillerait s’il n’était pas invalide.</w:t>
      </w:r>
    </w:p>
    <w:p>
      <w:r>
        <w:rPr>
          <w:b/>
        </w:rPr>
        <w:t>E. 6.2.2</w:t>
      </w:r>
    </w:p>
    <w:p>
      <w:r>
        <w:t>Le taux d’invalidité en lien avec les travaux habituels est, comme c’était le cas auparavant, déterminé au moyen de la méthode de comparaison des types d’activités prévue à l’art. 28a al. 2 LAI. De même que pour les assurés qui accomplissent des travaux habituels à plein temps, l’invalidité est calculée en fonction de l’incapacité de l’assuré à accomplir ses travaux habituels. La limitation ainsi obtenue est pondérée au moyen de la différence entre le taux d’occupation de l’activité lucrative et une activité à plein temps. Le taux d’invalidité total est obtenu en additionnant les deux taux d’invalidité pondérés (cf. Ralph LEUENBERGER, Gisela MAURO, Changements dans la méthode mixte, in Sécurité sociale/CHSS n° 1/2018 p. 45).</w:t>
      </w:r>
    </w:p>
    <w:p>
      <w:r>
        <w:rPr>
          <w:b/>
        </w:rPr>
        <w:t>E. 6.3</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w:t>
      </w:r>
    </w:p>
    <w:p>
      <w:r>
        <w:t>A/3654/2020 - 9/21 -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rPr>
          <w:b/>
        </w:rPr>
        <w:t>E. 6.3.1</w:t>
      </w:r>
    </w:p>
    <w:p>
      <w:r>
        <w:t>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 arrêt du Tribunal fédéral 9C_869/2017 du 4 mai 2018 consid. 2.2). Ce n'est qu'en présence de circonstances particulières qu'il peut se justifier qu'on s'en écarte et qu'on recoure aux données statistiques résultant de l’ESS éditée par l'Office fédéral de la statistique (arrêts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w:t>
      </w:r>
    </w:p>
    <w:p>
      <w:r>
        <w:rPr>
          <w:b/>
        </w:rPr>
        <w:t>E. 6.3.2</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w:t>
      </w:r>
    </w:p>
    <w:p>
      <w:r>
        <w:t>A/3654/2020 - 10/21 -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Selon la jurisprudence, il n'y a pas lieu de tenir compte des limitations fonctionnelles au titre d'un abattement supplémentaire lorsqu'elles ont déjà conduit un médecin à réduire la capacité de travail d'un assuré (arrêt du Tribunal fédéral 9C_273/2019 du 18 juillet 2019).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ATF 123 V 150 consid. 2 et les références ; arrêt du Tribunal fédéral 8C_337/2009 du 18 février 2010 consid. 7.5). Ni le déconditionnement issu d'un mode de vie sédentaire et inactif, ni celui lié à une longue interruption de l'activité professionnelle ne suffisent en tant que tels</w:t>
      </w:r>
    </w:p>
    <w:p>
      <w:r>
        <w:t>A/3654/2020 - 11/21 - pour admettre une diminution durable de la capacité de travail dans toute activité (cf. arrêts du Tribunal fédéral des assurances I 524/04 du 28 juin 2005 consid. 5 et I 597/03 du 22 mars 2004 consid. 4.1). En revanche, lorsque le déconditionnement se révèle être la conséquence directe et inévitable d'une atteinte à la santé, son incidence sur la capacité de travail ne saurait d'emblée être niée. À cet égard, les éléments empêchant la réadaptation et la réintégration professionnelles qui ne sont pas dus à l'atteinte à la santé n'ont pas à être pris en considération. Si la mise en valeur de la capacité résiduelle de travail dépend cependant d'une mesure préalable liée à l'état de santé, et réservée du point de vue médical, il y a lieu d'en tenir compte pour évaluer ladite capacité de travail. Ainsi, lorsque le corps médical fixe une capacité résiduelle de travail, tout en réservant que celle-ci ne pourra être atteinte que moyennant l'exécution préalable de mesures de réadaptation, il n'y a pas lieu de procéder à une évaluation du taux d'invalidité sur la base de la capacité résiduelle de travail médico-théorique avant que lesdites mesures n'aient été exécutées (arrêts du Tribunal fédéral 9C_141/2009 du 5 octobre 2009 consid. 2.3.1, SVR 2010 IV n° 9 p. 27 et 9C_163/2009 du</w:t>
      </w:r>
    </w:p>
    <w:p>
      <w:r>
        <w:rPr>
          <w:b/>
        </w:rPr>
        <w:t>E. 6.3.3</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w:t>
      </w:r>
    </w:p>
    <w:p>
      <w:r>
        <w:t>A/3654/2020 - 12/21 - résultats de l’enquête (ATF 140 V 543 consid. 3.2.1 et ATF 129 V 67 consid. 2.3.2 publié dans VSI 2003 p. 221 ; arrêt du Tribunal fédéral 9C_625/2017 du 26 mars 2018 consid. 6.2 et arrêt du Tribunal fédéral des assurances I 733/06 du 16 juillet 2007). 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(cf. ATF 138 I 205 consid. 3.2). Dans le cas d'une personne rencontrant des difficultés à accomplir ses travaux ménagers à cause de son handicap, le principe évoqué se concrétise notamment par l'obligation de solliciter l'aide des membres de la famille.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(ATF 133 V 504 consid. 4.2 ; arrêt du Tribunal fédéral 9C_785/2014).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w:t>
      </w:r>
    </w:p>
    <w:p>
      <w:r>
        <w:t>A/3654/2020 - 13/21 -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ATF 122 V 157 consid. 1c et les références), ces relations ne justifient cependant pas en elles-mêmes l'éviction de tous les avis émanant des médecins traitants. Encore faut-il démontrer l'existence d'éléments pouvant jeter un doute</w:t>
      </w:r>
    </w:p>
    <w:p>
      <w:r>
        <w:t>A/3654/2020 - 14/21 -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Aussi n’existe-t-il pas, en droit des assurances sociales, un principe selon lequel l’administration ou le juge devrait statuer, dans le doute, en faveur de l’assuré (ATF 126 V 319 consid. 5a). 9. En présence de déclarations contradictoires, selon la jurisprudence,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 ATF 115 V 143 consid. 8c).</w:t>
      </w:r>
    </w:p>
    <w:p>
      <w:r>
        <w:rPr>
          <w:b/>
        </w:rPr>
        <w:t>E. 10</w:t>
      </w:r>
    </w:p>
    <w:p>
      <w:r>
        <w:t>En l’espèce, dans sa décision litigieuse du 16 octobre 2020, l’intimé a retenu un statut mixte, comprenant une part de 23% dans la sphère professionnelle et une part de 77% dans la sphère ménagère. Il a ainsi repris les proportions retenues dans sa première décision du 26 septembre 2016, lesquelles étaient basées sur le questionnaire pour l’employeur du 12 avril 2016. Ce document mentionne en effet que l’horaire normal dans l’entreprise était de 43 heures par semaine et que la recourante avait travaillé durant 2 heures le 26 août 2014. Compte tenu de l’horaire quotidien dans l’entreprise (8.6 heures au vu des 43 heures par semaine</w:t>
      </w:r>
    </w:p>
    <w:p>
      <w:r>
        <w:t>A/3654/2020 - 15/21 - [et non pas 8 comme erronément indiqué dans ledit document]), il en découle un taux d’activité de 23.26%.</w:t>
      </w:r>
    </w:p>
    <w:p>
      <w:r>
        <w:rPr>
          <w:b/>
        </w:rPr>
        <w:t>E. 10.1</w:t>
      </w:r>
    </w:p>
    <w:p>
      <w:r>
        <w:t>La recourante a contesté ce statut, soutenant que son mari et elle avaient adopté une répartition des tâches traditionnelles durant le mariage et qu’elle s’était occupée du ménage et de la famille, alors que son époux pourvoyait à leurs besoins financiers. Suite à leur séparation, elle avait commencé une activité professionnelle en janvier 2013 avant d’être congédiée et de s’inscrire au chômage. Compte tenu de l’évolution de sa situation familiale, elle avait recherché un emploi à temps plein au moment de l’accident ayant entraîné une incapacité de travail durable, et avait été enregistrée comme telle auprès de l’OCE en 2013 et 2014.</w:t>
      </w:r>
    </w:p>
    <w:p>
      <w:r>
        <w:rPr>
          <w:b/>
        </w:rPr>
        <w:t>E. 10.2</w:t>
      </w:r>
    </w:p>
    <w:p>
      <w:r>
        <w:t>Ces allégations sont manifestement inexactes. Il ressort en effet de l’extrait du compte individuel de la recourante que cette dernière a travaillé dès sa venue en Suisse auprès de différents employeurs, cumulant plusieurs activités à temps partiel pour des revenus variables, souvent complétés par le versement d’indemnités de chômage. Ainsi, en 1986, elle a travaillé pour trois entreprises entre juillet et décembre, pour un gain total de CHF 8'273.-. En 1987, 1988 et 1989, elle a réalisé des gains annuels de CHF 23'765.-, respectivement CHF 21'397.- et CHF 28'268.-, indemnités de chômage inclues. En 1990, elle a travaillé pour un seul employeur et gagné CHF 26'587.-. Suite à la naissance de ses enfants en 1991 et 1993, elle n’a pas complètement renoncé à l’exercice d’une activité lucrative, mais ses gains ont diminué jusqu’en 1998. Entre 1999 et 2006, ses revenus ont souvent été complétés par des prestations de l’assurance-chômage ou des prestations cantonales. Depuis 2009, la recourante a perçu des montants annuels inférieurs à CHF 12'000.-, indemnités de chômage comprises (CHF 9'413.- en 2009, CHF 10'988.- en 2010, CHF 11'706.- en 2011, CHF 10'972.- en 2012, CHF 9'103.- en 2013, CHF 7'183.- en 2014, CHF 905.- en 2015, CHF 326.- en 2016 et CHF 1'999.- en 2017). On ne saurait donc suivre son argumentation lorsqu’elle soutient qu’elle aurait, sans atteinte à la santé, augmenté son taux d’activité et travaillé à 100% en raison de sa séparation, puisque cette dernière est survenue en janvier 2011 et que la recourante n’a pas travaillé davantage alors qu’elle ne connaissait encore aucun problème de santé et que ses enfants étaient déjà majeurs. Le fait que l’intéressée se soit inscrite auprès de l’OCE comme demandeuse d’emploi à 100% et qu’elle ait effectué des recherches à un tel taux ne saurait suffire à lui reconnaître un statut d’active à temps complet. Lors de l’enquête ménagère du 20 juillet 2020, l’intéressée a déclaré qu’elle travaillerait « au moins 2 heures par jour ou à mi-temps » si elle n’avait pas été atteinte dans sa santé. Aucun élément ne justifie de retenir le taux de 50% plutôt que celui qui correspond par ailleurs à la détermination de l’intimé, étant rappelé que les gains annuels les plus élevés de la recourante au cours des neuf années précédant sa dernière demande de prestations s’élevaient à CHF 11'706.- (2011).</w:t>
      </w:r>
    </w:p>
    <w:p>
      <w:r>
        <w:t>A/3654/2020 - 16/21 - Si l’intéressée avait eu l’intention d’augmenter ses revenus au vu de sa situation financière précaire, elle aurait eu l’occasion de le faire entre 2011 et 2014. Qui plus est, la recourante n’a exercé aucune activité professionnelle suite au prononcé de la décision du 26 septembre 2016 entrée en force, par laquelle l’intimé lui a nié le droit à une rente d’invalidité, au motif qu’elle disposait d’une capacité de travail entière. La chambre de céans relèvera encore que les salaires reçus par la recourante depuis 2009 s’apparentent à une activité exercée à un taux inférieur à 25%. Par exemple, en 2012, année durant laquelle elle a travaillé durant les 12 mois pour seulement deux employeurs, sans percevoir d’autres indemnités, alors qu’elle était déjà séparée et en bonne santé habituelle, ses gains se sont élevés à CHF 10'972.-, soit CHF 914.35 par mois. Selon les données statistiques, le salaire mensuel d’une femme, aide de ménage, entre 30 et 49 ans (T17, ligne 91) se montait en 2012 à CHF 4'012.-, dont le 23% (CHF 922.75) ne diffère que très peu du salaire effectivement perçu par recourante.</w:t>
      </w:r>
    </w:p>
    <w:p>
      <w:r>
        <w:rPr>
          <w:b/>
        </w:rPr>
        <w:t>E. 10.3</w:t>
      </w:r>
    </w:p>
    <w:p>
      <w:r>
        <w:t>Eu égard à tout ce qui précède, il convient de confirmer le statut mixte retenu par l’intimé, avec une part professionnelle de 23% et une part ménagère de 77%.</w:t>
      </w:r>
    </w:p>
    <w:p>
      <w:r>
        <w:rPr>
          <w:b/>
        </w:rPr>
        <w:t>E. 11</w:t>
      </w:r>
    </w:p>
    <w:p>
      <w:r>
        <w:t>L’intimé a considéré, dans la décision litigieuse, qu’à l’échéance du délai d’attente d’une année, soit au mois de mars 2019, le degré d’invalidité dans la sphère professionnelle était de 23% (23% x 100%) et qu’il n’y avait aucun empêchement dans la sphère ménagère compte tenu de l’évolution médicale et de l’exigibilité des membres de la famille (77% x 0%). Dès le mois de juillet 2019, l’état de santé s’était amélioré et permettait une reprise d’activité adaptée à 50%. Le revenu sans invalidité était fixé à CHF 32'235.- et le revenu avec invalidité à CHF 11'431.-, de sorte que la perte de gain était de CHF 20'804.-, correspondant à un taux de 64.54%. Compte tenu de la pondération, le degré d’invalidité dans la sphère professionnelle était fixé à 14.84% (23% x 64.54%), arrondi à 15%. L’évaluation de la capacité de travail repose sur l’avis du SMR du 17 mars 2020, aux termes duquel l’atteinte somatique et l’épisode dépressif moyen avaient entraîné une incapacité de travail de 100% depuis mars 2018 et de 50% dès juillet 2019 dans une activité adaptée permettant de changer de position, sans port de charges lourdes ou de façon répétée, sans travail accroupi ou à genoux, et sans marche en terrain irrégulier.</w:t>
      </w:r>
    </w:p>
    <w:p>
      <w:r>
        <w:rPr>
          <w:b/>
        </w:rPr>
        <w:t>E. 11.1</w:t>
      </w:r>
    </w:p>
    <w:p>
      <w:r>
        <w:t>La recourante soutient qu’elle a subi une incapacité de gain totale de mars 2018 à juin 2019 et partielle à 25%, au vu de la capacité de travail de 50% avec un rendement de 50%, dès le mois de juillet 2019, moyennant la mise en place d’une réadaptation professionnelle. Elle n’était plus apte à exercer son activité habituelle et une reconversion était nécessaire afin de pouvoir espérer récupérer une certaine capacité de gain, comme attesté par sa médecin traitante et le rapport d’expertise. Il incombait donc à l’intimé de mettre en œuvre une telle mesure avant de pouvoir procéder à l’évaluation de son taux d’invalidité puisque la valorisation</w:t>
      </w:r>
    </w:p>
    <w:p>
      <w:r>
        <w:t>A/3654/2020 - 17/21 - économique de sa capacité fonctionnelle de travail présupposait l’exécution de telles mesures.</w:t>
      </w:r>
    </w:p>
    <w:p>
      <w:r>
        <w:rPr>
          <w:b/>
        </w:rPr>
        <w:t>E. 11.2</w:t>
      </w:r>
    </w:p>
    <w:p>
      <w:r>
        <w:t>La chambre de céans observe tout d’abord que le rapport d’expertise du 6 janvier 2020 remplit tous les réquisits jurisprudentiels pour se voir reconnaître une pleine valeur probante, ce qui n’est au demeurant pas contesté par les parties. Ce document a en effet été rendu en pleine connaissance de cause par des spécialistes, après une étude approfondie du dossier, plusieurs entretiens avec l’expertisée et un entretien avec la psychiatre traitante. Les plaintes de l’intéressée ont été prises en considération et les experts ont livré des conclusions motivées et convaincantes.</w:t>
      </w:r>
    </w:p>
    <w:p>
      <w:r>
        <w:rPr>
          <w:b/>
        </w:rPr>
        <w:t>E. 11.3</w:t>
      </w:r>
    </w:p>
    <w:p>
      <w:r>
        <w:t>S’agissant des mesures de réadaptation, les experts ont indiqué que, de par son niveau socio-économique, l’expertisée était limitée dans sa connaissance et compréhension des aides et ressources à disposition. Elle nécessitait une réorientation professionnelle et d’être accompagnée et guidée dans ses démarches. Elle avait besoin d’une mesure de réinsertion/réadaptation du fait d’un changement d’orientation. Elle ne travaillait plus depuis des années et était en ce sens déconditionnée. La capacité de travail était de 50% et pouvait être améliorée par la poursuite du suivi psychothérapique et par la mise en place d’un traitement pharmacologique adapté, combiné à des approches de type thérapie groupale ou psychocorporelle. Une activité initiale de type réinsertion serait à privilégier en tenant compte des limitations. Les experts n’ont pas indiqué que la capacité de travail résiduelle retenue ne pourrait être atteinte qu’après l’exécution de mesures de réadaptation. Ces dernières ont avant tout été préconisées en raison du niveau socio-économique de la recourante, afin de l’aider dans sa réorientation. En ce qui concerne la médecin traitante, la doctoresse F______, spécialiste FMH en médecine interne, elle a indiqué, dans son rapport du 21 juin 2017, que la capacité de travail de sa patiente était de 50% et qu’on pouvait « se poser la question » d’une reconversion professionnelle pour le 50% restant. Par la suite, elle a mentionné, dans un rapport du 17 août 2017, que la capacité de travail n’excédait pas 50% et qu’une reconversion professionnelle pourrait être « envisageable » dans une profession assise. Elle n’a donc pas subordonné la capacité de travail résiduelle à la mise en œuvre de mesures préalables. Quant à la Dresse C______, psychiatre traitante, ses rapports d’avril 2018 et de mars 2019 ne font pas non plus état de la nécessité d’accorder des mesures d’ordre professionnel à la recourante.</w:t>
      </w:r>
    </w:p>
    <w:p>
      <w:r>
        <w:rPr>
          <w:b/>
        </w:rPr>
        <w:t>E. 11.4</w:t>
      </w:r>
    </w:p>
    <w:p>
      <w:r>
        <w:t>En ce qui concerne la capacité de travail, les experts ont expliqué, dans leur rapport du 6 janvier 2020, que la recourante avait présenté une dépression sévère sans symptôme psychotique dès l’été 2017, avec une évolution positive et une rémission partielle, permettant de retenir une intensité dépressive moyenne depuis juillet 2019, avec la persistance de symptômes de type insomnie</w:t>
      </w:r>
    </w:p>
    <w:p>
      <w:r>
        <w:t>A/3654/2020 - 18/21 - d’endormissement, thymie triste, anxiété et diminution de l’appétit. Ce trouble psychique avait entraîné une incapacité de travail de 100% dès le mois de mars 2018 et de 50% dès le mois de juillet 2019, avec un rendement initial de 50% qui pourrait aller en s’améliorant en fonction de l’évolution et de la réponse clinique aux différentes propositions thérapeutiques. La capacité de travail pouvait être améliorée par la poursuite du suivi psychothérapique et par la mise en place d’un traitement pharmacologique adapté, combiné à des approches de type thérapie groupale ou psychocorporelle. Sur demande de l’intimé, les experts ont précisé le 26 février 2020 que le traitement recommandé pour améliorer la capacité de travail était exigible et qu’une fois instauré, ses effets sur la symptomatologie dépressive et les douleurs chroniques pourraient se déployer dans les 3 à 6 mois, de telle sorte que l’on pourrait observer dans une premier temps une amélioration du rendement de la capacité résiduelle de travail de la recourante, actuellement estimée à 50%. Par avis du 17 mars 2020, le SMR a conclu que la recourante présentait une atteinte à la cheville et un épisode dépressif moyen, troubles ayant entraîné une incapacité de travail à 100% depuis mars 2018. La capacité de travail exigible était de 0% dans l’activité habituelle de nettoyeuse, et de 50% dans une activité adaptée dès le mois de juillet 2019. Les limitations fonctionnelles comprenaient le port de charges lourdes ou de façon répétée, la nécessité de changer de position et d’éviter la position accroupie ou à genoux, de marcher en terrain irrégulier. La persistance des symptômes de type insomnie d’endormissement, thymie triste et anxiété constituaient également des restrictions. Force est donc de constater que le SMR n’a pas pris en considération la diminution de rendement de 50% retenue par les experts, sans motivation aucune, de sorte qu’on ignore s’il s’agit d’une appréciation divergente ou d’une omission. La chambre de céans rappellera que les psychiatres ont estimé que le rendement « pourrait » être amélioré, ce qui relève donc d’une simple supposition. De plus, cette potentielle amélioration nécessitait une approche pharmacologique, car la recourante avait décrit une prise médicamenteuse ne permettant pas d’obtenir l’efficacité attendue pour un tel traitement, étant précisé qu’elle souffrait d’effets secondaires indésirables qui impactaient son adhérence au traitement et qu’elle n’avait pas compris correctement les raisons et bénéfices de l’instauration du traitement. Ces explications sont corroborées par le rapport de la Dresse C______ rendu en avril 2018, dans lequel la psychiatre traitante a notamment mentionné que le traitement antidépresseur manquait par moment d’efficacité. Dans ces conditions, faute d’avoir sollicité une nouvelle évaluation de la capacité de travail de la recourante avant de statuer sur sa demande, l’intimé aurait dû prendre en considération la diminution de rendement retenue par les experts, dont le rapport remplit toutes les exigences pour se voir reconnaître une pleine valeur probante.</w:t>
      </w:r>
    </w:p>
    <w:p>
      <w:r>
        <w:t>A/3654/2020 - 19/21 - La chambre de céans retiendra donc, conformément à l’appréciation des experts, que la recourante présentait une capacité de travail de 0% dès le mois de mars 2018 et de 50% dès le mois de juillet 2019 dans une activité adaptée, avec une diminution de rendement de 50%. La question de savoir si et quand la recourante a présenté une capacité de travail de 50% avec un rendement normal peut rester ouverte, dès lors qu’elle n’a aucune incidence sur l’issue du litige.</w:t>
      </w:r>
    </w:p>
    <w:p>
      <w:r>
        <w:rPr>
          <w:b/>
        </w:rPr>
        <w:t>E. 11.5</w:t>
      </w:r>
    </w:p>
    <w:p>
      <w:r>
        <w:t>La recourante ne remet pas en cause les conclusions du rapport d’enquête ménagère, laquelle a été réalisée par une infirmière qualifiée au domicile de l’intéressée, en pleine connaissance de cause. Aucun élément ne justifie de s’écarter des conclusions de ce document, aux termes duquel la recourante ne présente aucun empêchement pondéré compte tenu de l’exigibilité totale retenue. À cet égard, il sera notamment rappelé que les experts psychiatres ont relevé que l’intéressée décrivait une capacité globalement préservée dans les tâches ménagères quotidiennes, hormis certains jours où il lui était trop difficile de se mobiliser.</w:t>
      </w:r>
    </w:p>
    <w:p>
      <w:r>
        <w:rPr>
          <w:b/>
        </w:rPr>
        <w:t>E. 11.6</w:t>
      </w:r>
    </w:p>
    <w:p>
      <w:r>
        <w:t>En ce qui concerne le calcul du degré d’invalidité, il doit donc être corrigé en tenant compte, pour la part professionnelle de 23%, d’une capacité de travail résiduelle de 50% accompagnée d’une diminution de rendement de 50%, dès le mois de juillet 2019. Le calcul de l’intimé peut donc être confirmé pour la période courant dès le 1er mars 2019, soit un degré d’invalidité totale de 23% (23% x 100% pour la part professionnelle et 77% x 0% pour la part ménagère) n’ouvrant pas le droit à une rente. Dès le mois de juillet 2019, l’état de santé de l’intéressée s’est amélioré et elle a recouvré une capacité de travail résiduelle dans une activité adaptée. Il ressort d’une note interne du 4 septembre 2020 que l’intimé a déterminé le revenu avec invalidité en se basant sur les ESS 2018, TA1_tirage_skill_level, total, femme, niveau 1 (CHF 4'371.-, annualisé, adapté à la durée hebdomadaire de travail et indexé à 2019, soit un montant de CHF 55'222.-). Compte tenu du taux d’activité de 23% et d’un abattement de 10%, le revenu déterminant s’élevait à CHF 11'431.-. Concernant le revenu sans invalidité, il l’a fixé à CHF 32'234.78 pour un 100%. Selon la nouvelle méthode de calcul, la différence entre les revenus avec et sans invalidité révélait une perte de gain de 64.54%. Compte tenu du taux de l’activité professionnelle (23%), l’invalidité s’élevait à 14.84% (23% x 64.54%) pour la sphère professionnelle et 0% pour la sphère ménagère. Bien que la recourante ne fasse valoir aucun grief à l’encontre de ce calcul, la chambre de céans considère que celui-ci paraît d’emblée critiquable. L’intimé s’est en effet basé sur l’extrait de compte individuel pour établir le revenu sans invalidité à CHF 7'414.- (revenus de CHF 7'183.- en 2014 indexés à 2019), qu’il a ensuite converti en salaire à temps complet (CHF 32'234.78). Or, ce résultat est</w:t>
      </w:r>
    </w:p>
    <w:p>
      <w:r>
        <w:t>A/3654/2020 - 20/21 - sensiblement inférieur à celui qui ressort des données statistiques. Selon les ESS 2018 (T17, ligne 91, aides de ménage), le revenu mensuel s’élevait à CHF 4'419.- pour une femme de plus de 50 ans. Annualisé, adapté à la durée hebdomadaire de travail et indexé à 2019, il en résulte un montant de CHF 55'828.-, que la chambre de céans retiendra à titre de revenu de valide. S’agissant du revenu avec invalidité, le montant de CHF 55'222.- fondé sur les ESS 2018 (TA1_tirage_skill_level) peut être confirmé. Toutefois, compte tenu de la capacité de travail résiduelle de 25%, c’est ce dernier taux qui doit être appliqué et non pas les 23% retenus par l’intimé. Il en découle donc un montant de CHF 13'805.50. Selon la jurisprudence, il n'y a pas lieu de tenir compte des limitations fonctionnelles au titre d'un abattement supplémentaire lorsqu'elles ont déjà conduit un médecin à réduire la capacité de travail d'un assuré, ce qui est le cas en l’occurrence. La chambre de céans considère, au vu de la capacité de travail de 50% et de la diminution de rendement également de 50%, qu’un abattement supplémentaire au revenu avec invalidité est discutable, les autres critères n’étant pas réalisés. Cela étant, cette question n’a toutefois pas de répercussion sur les droits de la recourante. Ainsi, en tenant compte d’un revenu avec invalidité de CHF 12'424.95 (CHF 13'805.50 – 10%), la perte de gain se monte à CHF 43'403.05, ce qui représente un degré d’invalidité de 78%, pondéré à 18% compte tenu de la part professionnelle de 23%, ce qui est insuffisant pour ouvrir le droit à une rente d’invalidité. Le taux de 18% est également insuffisant pour ouvrir le droit à une mesure de reclassement, étant précisé que la recourante n’a pas démontré qu’elle en remplissait les autres conditions et que cela ne résulte pas du dossier.</w:t>
      </w:r>
    </w:p>
    <w:p>
      <w:r>
        <w:rPr>
          <w:b/>
        </w:rPr>
        <w:t>E. 12</w:t>
      </w:r>
    </w:p>
    <w:p>
      <w:r>
        <w:t>Il convient de renoncer à la perception d’un émolument, la recourante étant au bénéfice de l’assistance juridique (art. 69 al. 1bis LAI et 13 al. 1 du règlement sur les frais, émoluments et indemnités en procédure administrative du 30 juillet 1986 [RFPA - E 5 10.03]).</w:t>
      </w:r>
    </w:p>
    <w:p>
      <w:r>
        <w:t>A/3654/2020 - 21/21 -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