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ATAS/153/2020 vom 20. Februar 2020</w:t>
      </w:r>
    </w:p>
    <w:p>
      <w:r>
        <w:t>GE Cour de justice, 2020-02-20, FR</w:t>
      </w:r>
    </w:p>
    <w:p>
      <w:r>
        <w:rPr>
          <w:b/>
        </w:rPr>
        <w:t xml:space="preserve">Quelle: </w:t>
      </w:r>
      <w:r>
        <w:t>https://mcp.opencaselaw.ch/entscheid/ge_gerichte_ATAS_153_2020</w:t>
      </w:r>
    </w:p>
    <w:p>
      <w:r>
        <w:t>FR: GE_GERICHTE ATAS/153/2020 du 20 février 2020</w:t>
      </w:r>
    </w:p>
    <w:p>
      <w:r>
        <w:t>IT: GE_GERICHTE ATAS/153/2020 del 20 febbraio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en vertu des art. 56 ss LPGA.</w:t>
      </w:r>
    </w:p>
    <w:p>
      <w:r>
        <w:rPr>
          <w:b/>
        </w:rPr>
        <w:t>E. 4</w:t>
      </w:r>
    </w:p>
    <w:p>
      <w:r>
        <w:t>Le litige porte sur la question de savoir si l’état de santé de l’assurée s’est dégradé, depuis la décision initiale du 13 mars 2016, au point de lui ouvrir droit à des prestations de l’assurance-invalidité.</w:t>
      </w:r>
    </w:p>
    <w:p>
      <w:r>
        <w:rPr>
          <w:b/>
        </w:rPr>
        <w:t>E. 5</w:t>
      </w:r>
    </w:p>
    <w:p>
      <w:r>
        <w:t>a. Lorsque la rente a été refusée parce que le degré d'invalidité était insuffisant, la nouvelle demande ne peut être examinée que si l'assuré rend plausible que son</w:t>
      </w:r>
    </w:p>
    <w:p>
      <w:r>
        <w:t>A/632/2019 - 9/15 - invalidité ou son impotence s'est modifiée de manière à influencer ses droits (art. 17 LPGA ;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 elle doit donc procéder de la même manière qu'en cas de révision au sens de l'art. 17 LPGA c'est- à-dire en en comparant les faits tels qu'ils se présentaient au moment de la décision initiale de rente et les circonstances régnant à l'époque de la décision litigieuse (ATF 130 V 351 consid. 3.5.2 ; 125 V 369 consid. 2 et la référence ; 112 V 372 consid. 2b et 390 consid. 1b) afin d'établir si un changement est intervenu.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w:t>
      </w:r>
    </w:p>
    <w:p>
      <w:r>
        <w:rPr>
          <w:b/>
        </w:rPr>
        <w:t>E. 6</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w:t>
      </w:r>
    </w:p>
    <w:p>
      <w:r>
        <w:t>A/632/2019 - 10/15 -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résultant d'une infirmité congénitale, d'une maladie ou d'un accident (art. 8 al. 1 LPGA et 4 al. 1 LAI).</w:t>
      </w:r>
    </w:p>
    <w:p>
      <w:r>
        <w:rPr>
          <w:b/>
        </w:rPr>
        <w:t>E. 7</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8</w:t>
      </w:r>
    </w:p>
    <w:p>
      <w:r>
        <w:t>Pour qu’une invalidité soit reconnue, il est nécessaire, dans chaque cas, qu’un diagnostic médical pertinent soit posé par un spécialiste et que soit mise en évidence une diminution importante de la capacité de travail (et de gain ;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w:t>
      </w:r>
    </w:p>
    <w:p>
      <w:r>
        <w:t>A/632/2019 - 11/15 - (ATF 123 V 175), les expertises produites par une partie ainsi que les expertises médicales ordonnées par le juge de première ou de dernière instance (VSI 1997, p. 318 consid. 3b ;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A/632/2019 - 12/15 -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10</w:t>
      </w:r>
    </w:p>
    <w:p>
      <w:r>
        <w:t>En l’espèce, un nouveau diagnostic a été mentionné en mars 2017, soit un état dépressif récurrent sévère, qui n’est pas contesté par l’intimé, pas plus que les limitations fonctionnelles en découlant, lesquelles ont été énumérées par le SMR dans son avis du 14 mars 2018. Dans ces conditions, une expertise médicale telle que sollicitée par la recourante apparaît inutile, d’autant que la totale incapacité à travailler de la recourante n’est pas non plus contestée. Elle est tout simplement dénuée de pertinence, dans la mesure où elle ne s’est pas vu reconnaître un statut d’active. Elle ne conteste d’ailleurs pas le statut de non active retenu par l’intimé, dont on relèvera au demeurant qu’il est justifié, puisque la recourante n’a jamais exercé d’activité lucrative, que ce soit avant ou après son arrivée en Suisse, avant ou après la survenance des atteintes à la santé, avant ou après être devenue mère de famille. Dans ces circonstances, l’allégation selon laquelle elle aurait travaillé si elle avait été en bonne santé ne convainc pas, d’autant moins que l’intéressée se montre dans l’incapacité de préciser à quel taux et où elle semble considérer que son fils et son époux n’ont pas à participer aux tâches ménagères. Dès lors, seule importe la question du degré d’empêchement de l’assurée à accomplir ses tâches habituelles. C’est le lieu de rappeler qu’en ce qui concerne l'incapacité d'accomplir les travaux habituels, l'enquête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9C_313/2007 du 8 janvier 2008 consid. 4.1). De plus, le total des activités ménagères doit toujours se monter à 100% (VSI 1997 p. 298). Comme lors de la comparaison des revenus au sens de l'art. 28 al. 2 LAI, la fixation de l'invalidité dans les travaux habituels ne saurait reposer sur une évaluation médico-théorique. En effet, le facteur déterminant pour évaluer l'invalidité des assurés n'exerçant pas d'activité lucrative consiste en l'empêchement d'accomplir les travaux habituels, lequel ne peut être déterminé que compte tenu des circonstances concrètes du cas particulier. C'est pourquoi il n'existe pas de principe selon lequel l'évaluation médicale de la capacité de travail l'emporte d'une manière générale sur les résultats de l'enquête ménagère (arrêt du 28 février 2003 en la cause S.-P., I</w:t>
      </w:r>
    </w:p>
    <w:p>
      <w:r>
        <w:t>A/632/2019 - 13/15 - 685/02, déjà cité). Selon la jurisprudence, une telle enquête a valeur probante et ce n'est qu'à titre exceptionnel, singulièrement lorsque les déclarations de l'assuré ne concordent pas avec les constatations faites sur le plan médical, qu'il faut faire procéder par un médecin à une estimation des empêchements que l'intéressé rencontre dans ses activités habituelles (VSI 2001 p. 158 consid. 3c). Or, en l’espèce, il n’existe aucun élément permettant de mettre en doute la valeur probante et les conclusions de l’enquête ménagère. Comme le fait remarquer l’intimé, cette enquête a été effectuée par une professionnelle de la santé parfaitement au courant du dossier médical de l’assurée puisqu’elle a mentionné les principales atteintes à la santé dans son rapport. Au surplus, l’assurée n’amène aucun élément objectif permettant de contester les empêchements retenus par l’enquêtrice dans les différents postes.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p. 209). Ainsi, si l'assuré n'accomplit plus que difficilement ou avec un investissement temporel beaucoup plus important certains travaux ménagers en raison de son handicap, il doit en premier lieu, au titre de son obligation de réduire le dommage, adopter une méthode de travail appropriée, répartir son travail en fonction de ses aptitudes et de ses disponibilités et demander, dans la mesure du raisonnable, l'aide de ses proches (ATF 133 V 504 consid. 4.2 p. 509 s. et les références; arrêt [du Tribunal fédéral des assurances] I 761/81 du 15 septembre 1983 consid. 5, in RCC 1984 p. 143 s.).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p. 509 ss et les arrêts cités). En l’occurrence, comme l’a relevé l’intimé, tant l’époux que le fils de l’assurée sont en bonne santé. Certes, l’un travaille – épisodiquement – et l’autre est en formation.</w:t>
      </w:r>
    </w:p>
    <w:p>
      <w:r>
        <w:t>A/632/2019 - 14/15 - Il n’est cependant pas allégué qu’ils effectueraient régulièrement de nombreuses heures supplémentaires, seraient souvent en déplacement professionnel ou auraient des horaires irréguliers. En ce cas, une aide à hauteur de 30% apparaît parfaitement raisonnable. Dès lors, l’enquête économique n’apparaît pas critiquable, de sorte que c’est à juste titre que l’intimé s’y est référé. Eu égard aux considérations qui précèdent, le recours est rejeté.</w:t>
      </w:r>
    </w:p>
    <w:p>
      <w:r>
        <w:t>A/632/2019 - 15/15 - PAR CES MOTIFS, LA CHAMBRE DES ASSURANCES SOCIALES : Statuant</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