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ATAS/153/2016 vom 1. März 2016</w:t>
      </w:r>
    </w:p>
    <w:p>
      <w:r>
        <w:t>GE Cour de justice, 2016-03-01, FR</w:t>
      </w:r>
    </w:p>
    <w:p>
      <w:r>
        <w:rPr>
          <w:b/>
        </w:rPr>
        <w:t xml:space="preserve">Quelle: </w:t>
      </w:r>
      <w:r>
        <w:t>https://mcp.opencaselaw.ch/entscheid/ge_gerichte_ATAS_153_2016</w:t>
      </w:r>
    </w:p>
    <w:p>
      <w:r>
        <w:t>FR: GE_GERICHTE ATAS/153/2016 du 1 mars 2016</w:t>
      </w:r>
    </w:p>
    <w:p>
      <w:r>
        <w:t>IT: GE_GERICHTE ATAS/153/2016 del 1 marzo 2016</w:t>
      </w:r>
    </w:p>
    <w:p>
      <w:pPr>
        <w:pStyle w:val="Heading2"/>
      </w:pPr>
      <w:r>
        <w:t>Erwägungen</w:t>
      </w:r>
    </w:p>
    <w:p>
      <w:r>
        <w:rPr>
          <w:b/>
        </w:rPr>
        <w:t>E. 1</w:t>
      </w:r>
    </w:p>
    <w:p>
      <w:r>
        <w:t>Prend acte de la décision rendue par la caisse d’allocations familiales pour personnes sans activité lucrative le 5 février 2016.</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