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ATAS/153/2009 vom 13. Februar 2009</w:t>
      </w:r>
    </w:p>
    <w:p>
      <w:r>
        <w:t>GE Cour de justice, 2009-02-13, FR</w:t>
      </w:r>
    </w:p>
    <w:p>
      <w:r>
        <w:rPr>
          <w:b/>
        </w:rPr>
        <w:t xml:space="preserve">Quelle: </w:t>
      </w:r>
      <w:r>
        <w:t>https://mcp.opencaselaw.ch/entscheid/ge_gerichte_ATAS_153_2009</w:t>
      </w:r>
    </w:p>
    <w:p>
      <w:r>
        <w:t>FR: GE_GERICHTE ATAS/153/2009 du 13 février 2009</w:t>
      </w:r>
    </w:p>
    <w:p>
      <w:r>
        <w:t>IT: GE_GERICHTE ATAS/153/2009 del 13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leur entrée en vigueur (ATF 117 V 93 consid. 6b, 112 V 360 consid. 4a; RAMA 1998 KV 37 p. 316 consid. 3b). La LPGA s’applique donc au cas d’espèce.</w:t>
      </w:r>
    </w:p>
    <w:p>
      <w:r>
        <w:rPr>
          <w:b/>
        </w:rPr>
        <w:t>E. 3</w:t>
      </w:r>
    </w:p>
    <w:p>
      <w:r>
        <w:t>En vertu de l'article 60 LPGA, le délai de recours est de trente jours suivant la notification de la décision, étant précisé que le délai ne court pas du 7ème jour avant Pâques au 7ème jour après Pâques inclusivement (art. 38 al. 4 let. a LPGA par analogie). La décision de l'OCAI du 15 février 2008 a été reçue par le recourant en date du 19 février 2008, de sorte que le délai est arrivé à échéance en date du 4 avril 2008. Interjeté dans les forme et délai prévus par la loi, le recours reçu en date du 3 avril 2008 par le Tribunal de céans est recevable et ce en vertu des art. 56 ss LPGA.</w:t>
      </w:r>
    </w:p>
    <w:p>
      <w:r>
        <w:rPr>
          <w:b/>
        </w:rPr>
        <w:t>E. 4</w:t>
      </w:r>
    </w:p>
    <w:p>
      <w:r>
        <w:t>Le litige porte sur le point de savoir si c'est à bon droit que l'OCAI a supprimé la rente entière du recourant dès le 1er juillet 2004, rente qui lui avait été accordée dès le 18 novembre 2003.</w:t>
      </w:r>
    </w:p>
    <w:p>
      <w:r>
        <w:rPr>
          <w:b/>
        </w:rPr>
        <w:t>E. 5</w:t>
      </w:r>
    </w:p>
    <w:p>
      <w:r>
        <w:t>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w:t>
      </w:r>
    </w:p>
    <w:p>
      <w:r>
        <w:t>- 14/18-</w:t>
      </w:r>
    </w:p>
    <w:p>
      <w:r>
        <w:t>A/1095/2008 celle-ci a constaté les faits de façon sommaire, dans l'idée que le tribunal les éclaircirait comme il convient en cas de recours (voir RAMA 1986 n° K 665 p. 87).</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w:t>
      </w:r>
    </w:p>
    <w:p>
      <w:r>
        <w:t>- 15/18-</w:t>
      </w:r>
    </w:p>
    <w:p>
      <w:r>
        <w:t>A/1095/2008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l’OCAI a tout d’abord confié au Dr M___________ le soin de rendre une expertise concernant l’état psychique de l’assuré. Il résulte de ce rapport du 12 avril 2006 que l’assuré souffre d’un trouble dépressif récurrent, épisode actuel sévère sans symptômes psychotiques (33.2), trouble qui, d’après l’expert, ne permettait pas au recourant d’exercer une quelconque activité professionnelle. Le Tribunal constate que ce rapport ne contient qu’une anamnèse très sommaire du cas et que les constatations de l’expert psychiatre sont essentiellement des constatations subjectives concernant les plaintes de l’assuré. De plus, outre le fait que les rapports médicaux précédents soient repris dans leur intégralité sans être par la suite discutés, l’appréciation objective du cas est quasiment inexistante et les conclusions de l’expert ne sont pas motivées. Ce rapport d’expertise du Dr M___________ est incomplet et n’a manifestement pas valeur probante. Quant à l’examen du Dr O___________, il a en premier lieu été effectué dans des circonstances exceptionnelles. En effet, lorsque le Dr O___________ a reçu l’assuré, celui-ci avait été agressé quelques jours auparavant par un membre de sa famille, de sorte que les déclarations de l’assuré portaient principalement sur cet événement. L’examinateur a lui-même indiqué dans son rapport qu’il n’a pas pu examiner l’assuré « dans son état habituel qui a motivé le présent examen ». Par ailleurs, l’examinateur pose le diagnostic de trouble dépressif récurrent avec plusieurs épisodes de gravité moyenne, en précisant la référence à la CIM-10 (Classification Internationale des troubles mentaux et des troubles du comportement). Toutefois, la référence mentionnée, soit F32.2, correspond à un épisode dépressif sévère sans symptômes psychotiques et non à un trouble dépressif récurrent avec épisodes de gravité moyenne. Cette référence est ainsi erronée. Enfin, il sera relevé que le diagnostic de dysthymie est également posé. Or, selon la CIM-10, au chiffre F34.1 lettre B, il est indiqué que le diagnostic de dysthymie peut être posé si aucun ou presque aucun des épisodes isolés de dépression survenant au cours d’une telle période de deux années ne sont d’une sévérité ou d’une durée suffisante pour répondre aux critères d’un trouble dépressif récurrent léger (F33.0). Cela signifie que les diagnostics de dysthymie et de trouble dépressif récurrent avec plusieurs épisodes de gravité moyenne s’excluent l’un l’autre. Toutefois, l’examinateur les a posé l’un après l’autre, sans indiquer que le trouble dépressif récurrent soit en rémission. En tout état de cause, il n’explique pas en quoi chacun des deux diagnostics pourraient coexister.</w:t>
      </w:r>
    </w:p>
    <w:p>
      <w:r>
        <w:t>- 16/18-</w:t>
      </w:r>
    </w:p>
    <w:p>
      <w:r>
        <w:t>A/1095/2008 Les constatations qui précèdent sont de nature à faire douter le Tribunal de céans de la valeur probante du rapport d’examen psychiatrique du SMR. Pour le surplus, les divers rapports et déclarations des médecins traitants du Service de psychiatrie pour adultes ne permettent pas de tirer une conclusion définitive quant à l’état de santé psychique de l’assuré et quant à une éventuelle capacité de travail qu’elle soit actuelle ou future. Par conséquent, aucun de ces rapports et avis n’aboutissant à des résultats qui convainquent le Tribunal de céans, une expertise psychiatrique sera ordonnée. Celle-ci sera confiée au Dr U__________, médecin spécialiste FMH en psychiatrie.</w:t>
      </w:r>
    </w:p>
    <w:p>
      <w:r>
        <w:t>- 17/18-</w:t>
      </w:r>
    </w:p>
    <w:p>
      <w:r>
        <w:t>A/1095/2008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