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ATAS/153/2008 vom 31. Januar 2008</w:t>
      </w:r>
    </w:p>
    <w:p>
      <w:r>
        <w:t>GE Cour de justice, 2008-01-31, FR</w:t>
      </w:r>
    </w:p>
    <w:p>
      <w:r>
        <w:rPr>
          <w:b/>
        </w:rPr>
        <w:t xml:space="preserve">Quelle: </w:t>
      </w:r>
      <w:r>
        <w:t>https://mcp.opencaselaw.ch/entscheid/ge_gerichte_ATAS_153_2008</w:t>
      </w:r>
    </w:p>
    <w:p>
      <w:r>
        <w:t>FR: GE_GERICHTE ATAS/153/2008 du 31 janvier 2008</w:t>
      </w:r>
    </w:p>
    <w:p>
      <w:r>
        <w:t>IT: GE_GERICHTE ATAS/153/2008 del 31 gennaio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Respectant les forme et délais légaux (art. 106 LAA dans sa teneur en vigueur depuis le 1er janvier 2003, en dérogation à l’art. 60 LPGA), le recours est recevable.</w:t>
      </w:r>
    </w:p>
    <w:p>
      <w:r>
        <w:rPr>
          <w:b/>
        </w:rPr>
        <w:t>E. 3</w:t>
      </w:r>
    </w:p>
    <w:p>
      <w:r>
        <w:t>La loi fédérale du 6 octobre 2000 sur la partie générale du droit des assurances sociales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Est litigieux en l'espèce le droit du recourant au versement des prestations de l'assurance-accidents au-delà du 30 avril 2006 en raison de l'agression dont il a été victime le 30 septembre 2001. Singulièrement, il s'agit de se prononcer sur le lien</w:t>
      </w:r>
    </w:p>
    <w:p>
      <w:r>
        <w:t>A/2488/2006 - 12/19 - de causalité entre l'événement précité et les atteintes à la santé présentées par l'intéressé.</w:t>
      </w:r>
    </w:p>
    <w:p>
      <w:r>
        <w:rPr>
          <w:b/>
        </w:rPr>
        <w:t>E. 5</w:t>
      </w:r>
    </w:p>
    <w:p>
      <w:r>
        <w:t>a) L'art. 6 al. 1 LAA stipule que, sauf disposition contraire, les prestations d'assurance sont allouées en cas d'accident professionnel, d'accident non professionnel et de maladie professionnelle. b) Est réputé accident toute atteinte dommageable, soudaine et involontaire, portée au corps humain par une cause extraordinaire qui compromet la santé physique, mentale ou psychique ou qui entraîne la mort (art. 9 al. 1 de l'ordonnance sur l'assurance-accidents du 20 décembre 1982 dans sa teneur en vigueur jusqu'au 31 décembre 2002; art. 4 LPGA). c) Dans le cas d'espèce, il ne fait nul doute - cela n'est au demeurant pas contesté - que l'agression subie par le recourant en date du 30 septembre 2001 répond à la définition de l'accident précitée.</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A/2488/2006 - 13/19 -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Par ailleurs, une expertise médicale établie sur la base d'un dossier peut avoir valeur probante pour autant que celui-ci contienne suffisamment d'appréciations médicales qui, elles, se fondent sur un examen personnel de l'assuré (cf. RAMA 2001 n° U 438 p. 346 consid. 3d).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b) Dans un premier grief, le recourant s'en prend à la qualification de troubles psychiques donnée par l'intimée à l'ensemble des atteintes à la santé qu'il présente encore à la date de suppression des prestations. La SUVA s'est appuyée sur les rapports d'expertise des docteurs V_________ et W_________ du 16 septembre 2004 (expertise neurologique et neuropsychologique), du professeur Y_________ du 30 septembre 2005 (expertise</w:t>
      </w:r>
    </w:p>
    <w:p>
      <w:r>
        <w:t>A/2488/2006 - 14/19 - neuro-ophtalmologique), ainsi que sur les multiples avis des médecins spécialistes de sa division de médecine des assurances (docteurs R_________ et Z_________) et les rapports de son médecin d'arrondissement, le docteur N_________. Sans entrer ici dans le détail de ces divers rapports, il convient de leur reconnaître une pleine valeur probante, dans la mesure où ils remplissent tous à l'évidence les critères jurisprudentiels énumérés ci-avant, compte tenu de leurs spécificités respectives. Mis à part les conclusions des médecins de la division de médecine des assurances de la SUVA, le recourant ne remet d'ailleurs pas sérieusement en cause les résultats - et encore moins les constatations - auxquels sont parvenus les autres spécialistes susmentionnées. Tout au plus fait-il valoir sa propre appréciation des constatations médicales des experts, s'appuyant en cela sur les divers avis de son ophtalmologue, le docteur M_________. Or, les considérations de ce dernier médecin ne divergent finalement pas de celles de ses confrères, dans la mesure où lui aussi fait référence à des troubles d'ordre psychiques, puisqu'il estime qu'il "convient de classer l'ensemble de la symptomatologie du patient sous le terme de syndrome de stress post-traumatique" (ce diagnostic est d'ailleurs déjà mentionné dans un rapport du 15 mars 2002). Ledit syndrome est en effet répertorié dans le Manuel diagnostique et statistique des troubles mentaux (DSM-IV-TR), édité par l'American Psychiatric Association sous la référence F43.1 (Etat de stress post- traumatique). Les autres arguments invoqués ne résistent pas non plus à l'examen. L'atteinte des nerfs optiques à l'origine de la baisse de l'acuité visuelle n'est pas documentée au dossier; il ressort même le contraire de l'examen IRM du 10 octobre 2002 (parfaite définition du nerf otique des deux côtés, sans anomalie de signal) et du rapport d'expertise du professeur Y_________ (nerf optique sain et exclusion d'une neuropathie optique). Quant à l'importance alléguée du traumatisme crânien, qui justifierait la reconnaissance d'atteintes physiques, notamment sous la forme d'une atrophie cortico-sous-corticale, il résulte clairement des premières déclarations du recourant (auxquelles il convient de donner la préférence en présence de versions des faits différentes; cf. ATF 121 V 47 consid. 2a, 115 V 143 consid. 8c) que la violence des coups portés n'était pas extrême - il semblerait d'ailleurs qu'il n'ait reçu qu'un seul coup de poing au niveau de la tête - et que ces derniers n'ont pas provoqué de perte de connaissance. Par ailleurs, l'origine des troubles pouvant être en relation avec une atrophie cérébrale, soit les troubles neuropsychologiques, est clairement déclarée non traumatique par les experts consultés (docteurs V_________ et W_________ ainsi que Z_________). Il suit de ce qui précède que c'est donc à juste titre que la SUVA, en l'absence de troubles ayant un substrat organique, a considéré que le recourant ne présentait, à compter de la date de suppression des prestations, plus que des atteintes à la santé d'ordre psychique. Le dossier étant pour le surplus instruit à suffisance, point n'est besoin de procéder à l'édition - au demeurant non requise - du dossier de l'assurance-invalidité, en particulier du rapport d'expertise effectuée par le COMAI. Premièrement, ledit</w:t>
      </w:r>
    </w:p>
    <w:p>
      <w:r>
        <w:t>A/2488/2006 - 15/19 - rapport a fait l'objet d'un résumé, d'une discussion et d'une appréciation par les médecins du service de la médecine de la SUVA. Deuxièmement et surtout, un tel document est nécessairement établi dans une optique distincte de ceux rédigés dans le cadre d'une procédure en matière d'assurance-accidents; cette dernière assurance ne prend en effet en considération que les affections en relation de causalité avec l'événement assuré, contrairement à l'assurance-invalidité, ce qui a pour incidence une différentiation des tâches respectives des experts de l'une et l'autre institution. Pour les mêmes motifs, la décision d'octroi d'une rente entière de l'assurance- invalidité ne saurait être pertinente dans le présent litige et ne démontre de toute manière pas, contrairement à ce que prétend le recourant, l'existence d'un lien de causalité entre ses atteintes à la santé et l'accident. c) Le recourant fait ensuite valoir - entre autres - les rapports du docteur M_________ pour étayer le lien de causalité naturelle existant entre ses atteintes à la santé et l'agression subie. Toutefois, dût-on retenir, comme il le soutient, un rapport de causalité naturelle entre ses troubles psychiques et l'événement du 30 septembre 2001 à l'instar du docteur M_________, que cette seule conclusion ne lui serait d'aucune aide. Effectivement, au regard des circonstances du cas d'espèce, le caractère adéquat du rapport de causalité fait à l'évidence défaut, comme cela sera démontré ci-après.</w:t>
      </w:r>
    </w:p>
    <w:p>
      <w:r>
        <w:rPr>
          <w:b/>
        </w:rPr>
        <w:t>E. 7</w:t>
      </w:r>
    </w:p>
    <w:p>
      <w:r>
        <w:t>a/aa)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112 consid. 3a, 123 V 100 consid. 3, 122 V 417 consid. 2c). a/bb)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w:t>
      </w:r>
    </w:p>
    <w:p>
      <w:r>
        <w:t>A/2488/2006 - 16/19 -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Une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409 consid. 5c). b/aa) Le recourant soutient avoir été victime d'un accident qui doit être classé dans la catégorie des accidents graves ou à tout le moins dans celle des accidents de gravité moyenne, à la limite supérieure de ladite catégorie. Il étaye son allégation par la mention du caractère sauvage et brutal de l'agression subie, des nombreux coups extrêmement violents reçus au niveau du visage et de l'épaule ayant eu pour conséquence immédiate plusieurs fractures dentaires et un état de conscience altéré ("perturbé", "sonné"); il fait également valoir le traumatisme crânien très important dont il a souffert, avec baisse importante de l'acuité visuelle, du champ visuel et phénomènes d'altération de la vision binoculaire. Il qualifie l'ensemble des lésions subies de lésions corporelles graves au sens de l'art. 122 du code pénal suisse (CP). Dans un arrêt du 28 août 2001 (U 9/00), le Tribunal fédéral a retenu qu'une assurée, jetée à terre par le fils de son compagnon, qui avait ensuite tenté de l'étrangler, lui avait frappé la tête à plusieurs reprises contre le sol et donné des coups de genoux dans le dos et les reins, avait été victime d'un événement devant être qualifié d'accident de gravité moyenne à la limite des accidents graves. Dans un arrêt du 8 mai 2007 (U 36/07), il a admis qu'il en allait de même pour une agression commise devant le domicile de l'assuré à 4 heures du matin par trois hommes tout de noir vêtus, dans un contexte de menaces, chantage et tentative d'extorsion qui avait pour conséquence que l'intéressé connaissait assurément la détermination de ses agresseurs et pouvait sérieusement craindre pour sa vie ou du moins pour une perte importante et permanente de son intégrité corporelle; l'assuré avait été roué de coups de bâton. Dans le cas d'un employé de sécurité pris à partie, dans le cadre de sa profession, par des clients du dancing dans lequel il travaillait et qui l'avaient frappé notamment derrière la tête à l'aide d'une chaise, causant un traumatisme crânio-cérébral, une plaie au cuir chevelu et une fracture au niveau des cervicales et occasionnant une hospitalisation de 3 jours, notre Haute Cour avait considéré qu'il s'agissait là d'un accident de gravité moyenne (arrêt U 339/99 du 17 avril 2000). Enfin, l'agression dont a été victime une femme voulant retenir son sac à main et s'étant fait projetée à terre et traînée sur le sol par l'homme cagoulé qui tentait de</w:t>
      </w:r>
    </w:p>
    <w:p>
      <w:r>
        <w:t>A/2488/2006 - 17/19 - s'en emparer, la juridiction fédérale a nié qu'un tel événement se situe à la limite des accidents graves (arrêt du 16 février 2005, U 138/04). En l'espèce, le recourant n'a pas été frappé à de multiples reprises contrairement à ce qu'il allègue dans son mémoire de recours; ses agresseurs, au nombre de deux, lui ont tordu le bras gauche et donné un coup de poing, semble-t-il assez violent il est vrai. Mais dans son ensemble, l'agression n'a pas été - heureusement pour l'intéressé - suffisamment violente pour que celui-ci en vienne à craindre légitimement pour sa vie ou son intégrité corporelle sur le long terme. La juridiction de céans se réfère aux premières déclarations de l'intéressé - notamment celles relatées dans le procès-verbal de la Gendarmerie française du 2 octobre 2001 (cf. ATF 129 V 181 consid. 3.2 et les autres références citées au consid. 7a/aa). Les agresseurs, qui n'étaient pas masqués, n'ont pas véritablement "pris" leur victime par surprise, dans la mesure où ils ont eu un comportement déjà passablement agressif au volant de leur voiture vis-à-vis de l'intéressé qui était en mesure de prévoir une réaction brutale de leur part en se trouvant confronté physiquement à eux après être sorti volontairement de son véhicule. Enfin, les conséquences de l'accident ne sont de loin pas aussi graves que l'allègue le recourant. En effet, mis à part le bris de sa prothèse dentaire et la (sub)luxation de cinq dents ayant nécessité leur extraction et la pose d'un appareil dentaire complet de la mâchoire supérieure, aucune lésion objectivable n'a été démontrée et le traumatisme crânio-cérébral diagnostiqué a été décrit comme léger. Seuls des troubles d'ordre psychogène ont persisté. Or, ceux-ci sont (à tout le moins pour les plus gênants d'entre eux, à savoir les troubles visuels) susceptibles de s'amender grâce à un traitement médicamenteux assez simple, prescrit par le professeur Y_________. Il est par conséquent plus que douteux que de telles atteintes puissent être qualifiées de lésions corporelles graves au sens de l'art. 122 CP, mais de toute manière, cette question n'est pas déterminante en l'espèce. En résumé, on ne voit pas quelles circonstances l'agression - qui était certes de nature à marquer sa victime d'un point de vue subjectif - comporterait qui permettraient de qualifier celle-ci d'accident grave, voire même d'accident de gravité moyenne à la limite supérieure. En faisant abstraction du ressenti personnel du recourant, il y a lieu de constater qu'il a été victime d'un accident de gravité moyenne. b/bb) En l'occurrence, les critères déterminants que sont, aux termes de la jurisprudence citée ci-dessus, la gravité des lésions subies, la durée anormalement longue du traitement médical, les douleurs physiques persistantes ainsi que de la durée et le degré de l'incapacité de travail dus aux seules atteintes à la santé physique, font défaut. D'une part, les lésions physiques - et quand bien même le dentiste du recourant a dû procéder à l'extraction de 5 dents - ne sauraient être qualifiées de graves. D'autre part, le traitement dentaire a été mené relativement rapidement et le statu quo sine concernant l'épaule a été atteint neuf mois après l'accident, les soins ultérieurs n'étant plus dispensés en raison de séquelles physiques de l'accident. Au demeurant, on relève que l'assuré a très vite relaté ne prendre qu'un cachet d'aspire de temps à autre pour les douleurs résiduelles de</w:t>
      </w:r>
    </w:p>
    <w:p>
      <w:r>
        <w:t>A/2488/2006 - 18/19 - l'épaule. Enfin, il n'y a eu ni complications importantes, ni erreur médicale dans le processus de guérison. Quant au caractère de l'agression, s'il ne fait pas de doute qu'elle s'est révélée assez brutale, on ne saurait admettre (cf. les considérations émises au consid. 7a/bb ci-dessus) qu'elle revêt un caractère impressionnant d'une acuité particulièrement élevée au sens de la jurisprudence. En conséquence, l'existence d'un lien de causalité adéquate entre l'événement du 30 septembre 2001 et les troubles psychiques du recourant doit être nié. Le recours se révèle par conséquent mal fondé.</w:t>
      </w:r>
    </w:p>
    <w:p>
      <w:r>
        <w:rPr>
          <w:b/>
        </w:rPr>
        <w:t>E. 8</w:t>
      </w:r>
    </w:p>
    <w:p>
      <w:r>
        <w:t>Le recourant succombe, de sorte qu'il ne saurait prétendre une indemnité de dépens pour la présente procédure judiciaire (art. 61 let. g LPGA a contrario).</w:t>
      </w:r>
    </w:p>
    <w:p>
      <w:r>
        <w:t>A/2488/2006 - 19/19 -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