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ATAS/152/2024 vom 7. März 2024</w:t>
      </w:r>
    </w:p>
    <w:p>
      <w:r>
        <w:t>GE Cour de justice, 2024-03-07, FR</w:t>
      </w:r>
    </w:p>
    <w:p>
      <w:r>
        <w:rPr>
          <w:b/>
        </w:rPr>
        <w:t xml:space="preserve">Quelle: </w:t>
      </w:r>
      <w:r>
        <w:t>https://mcp.opencaselaw.ch/entscheid/ge_gerichte_ATAS_152_2024</w:t>
      </w:r>
    </w:p>
    <w:p>
      <w:r>
        <w:t>FR: GE_GERICHTE ATAS/152/2024 du 7 mars 2024</w:t>
      </w:r>
    </w:p>
    <w:p>
      <w:r>
        <w:t>IT: GE_GERICHTE ATAS/152/2024 del 7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soit le 12 juillet 2012, le droit du recourant aux prestations d'assurance est soumis à l'ancien droit (cf. al. 1 des dispositions transitoires relatives à la modification du 25 septembre 2015 ; arrêt du Tribunal fédéral 8C_662/2016 du 23 mai 2017 consid. 2.2). Les dispositions légales seront citées ci-après dans leur teneur en vigueur jusqu'au 31 décembre 2016.</w:t>
      </w:r>
    </w:p>
    <w:p>
      <w:r>
        <w:rPr>
          <w:b/>
        </w:rPr>
        <w:t>E. 5</w:t>
      </w:r>
    </w:p>
    <w:p>
      <w:r>
        <w:t>Le délai de recours est de 30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de la SUVA de mettre fin rétroactivement au versement de la rente versée à l’assuré, avec effet au 1er juin 2022, et de réclamer la restitution du trop-perçu depuis cette date.</w:t>
      </w:r>
    </w:p>
    <w:p>
      <w:r>
        <w:rPr>
          <w:b/>
        </w:rPr>
        <w:t>E. 7</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w:t>
      </w:r>
    </w:p>
    <w:p>
      <w:r>
        <w:t>A/3448/2023 - 8/16 - plus, il n'y a incapacité de gain que si celle-ci n'est pas objectivement surmontable (al. 2).</w:t>
      </w:r>
    </w:p>
    <w:p>
      <w:r>
        <w:rPr>
          <w:b/>
        </w:rPr>
        <w:t>E. 8.1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8.2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8.3.1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w:t>
      </w:r>
    </w:p>
    <w:p>
      <w:r>
        <w:rPr>
          <w:b/>
        </w:rPr>
        <w:t>E. 8.3.2</w:t>
      </w:r>
    </w:p>
    <w:p>
      <w:r>
        <w:t>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du Tribunal fédéral 9C_439/2020 du 18 août 2020 consid. 4.4). Cela pourra être le cas lorsque l'employeur a laissé entrevoir une telle perspective d'avancement ou a donné des assurances en ce sens. En revanche, de simples déclarations d'intention de l'assuré ne suffisent pas ; l'intention de progresser sur le plan professionnel doit s'être</w:t>
      </w:r>
    </w:p>
    <w:p>
      <w:r>
        <w:t>A/3448/2023 - 9/16 - manifestée par des étapes concrètes, telles que la fréquentation d'un cours, le début d'études ou la passation d'examens. Ces principes s'appliquent aussi dans le cas de jeunes assurés. Le point de savoir si le salaire réel aurait augmenté grâce à un développement des capacités professionnelles individuelles, notamment un changement de profession, doit être établi au degré de la vraisemblance prépondérante (arrêt du Tribunal fédéral 8C_45/2022 du 3 août 2022 consid. 3.2 et les références). Dans la procédure de révision, à la différence de la procédure initiale à l'issue de laquelle le droit à la rente est déterminé pour la première fois, il sied de considérer que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 arrêt du Tribunal fédéral 8C_564/2013 du 17 octobre 2013 consid. 6.1 et références).</w:t>
      </w:r>
    </w:p>
    <w:p>
      <w:r>
        <w:rPr>
          <w:b/>
        </w:rPr>
        <w:t>E. 8.4.1</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ATF 135 V 297 consid. 5.2 et les références).</w:t>
      </w:r>
    </w:p>
    <w:p>
      <w:r>
        <w:rPr>
          <w:b/>
        </w:rPr>
        <w:t>E. 8.4.2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(ATF 148 V 174 consid. 6.2 et les références ; ATF 143 V 295 consid. 2.2 et les références).</w:t>
      </w:r>
    </w:p>
    <w:p>
      <w:r>
        <w:rPr>
          <w:b/>
        </w:rPr>
        <w:t>E. 8.4.3</w:t>
      </w:r>
    </w:p>
    <w:p>
      <w:r>
        <w:t>Lorsque l'activité exercée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 consid. 4 et les références ; ATF 109 V 25 consid. 3c et les références). Un assuré doit, avant de requérir des prestations, entreprendre de son</w:t>
      </w:r>
    </w:p>
    <w:p>
      <w:r>
        <w:t>A/3448/2023 - 10/16 -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du Tribunal fédéral 9C_644/2015 du 3 mai 2016 consid. 4.3.1).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et les références ; arrêt du Tribunal fédéral 8C_878/2010 du 19 septembre 2011 consid. 4.2 et les références).</w:t>
      </w:r>
    </w:p>
    <w:p>
      <w:r>
        <w:rPr>
          <w:b/>
        </w:rPr>
        <w:t>E. 8.5</w:t>
      </w:r>
    </w:p>
    <w:p>
      <w:r>
        <w:t>Le taux d'invalidité doit être arrondi au pourcentage supérieur ou inférieur selon les règles mathématiques reconnues. Si le résultat est inférieur ou égal à x.49...%, il convient donc de l’arrondir à x%. Cela vaut également dans l'assurance-accidents, même si l'arrondi à l'unité supérieure ou inférieure (hormis la valeur de référence de 10% [cf. art. 18 al. 1 LAA]) représente une perte ou un gain de quelques francs sur le montant mensuel de la rente (ATF 131 V 121 consid. 3.2. et 3.3 et les références ; arrêt du Tribunal fédéral 8C_167/2022 du 18 août 2022 consid. 5.4).</w:t>
      </w:r>
    </w:p>
    <w:p>
      <w:r>
        <w:rPr>
          <w:b/>
        </w:rPr>
        <w:t>E. 9.1</w:t>
      </w:r>
    </w:p>
    <w:p>
      <w:r>
        <w:t>Tout changement important des circonstances propres à influencer le degré d'invalidité, et donc le droit à la rente, peut motiver une révision selon l'art. 17 al. 2 LPGA. La rente peut être révisée non seulement en cas de modification sensible de l'état de santé, mais aussi lorsque celui-ci est resté en soi le même, mais que ses conséquences sur la capacité de gain ont subi un changement important (ATF 147 V 167 consid. 4.1). Selon la jurisprudence, lorsque les faits déterminants pour le droit à la rente se sont modifiés au point de motiver une révision, le degré d'invalidité doit être fixé à nouveau sur la base d'un état de fait établi de manière correcte et complète sous tous ses aspects factuels et juridiques (« allseitige Prüfung »), sans que des évaluations antérieures ne revêtent un caractère obligatoire (ATF 141 V 9 consid. 2.3). En application de ce principe, le Tribunal fédéral a notamment retenu</w:t>
      </w:r>
    </w:p>
    <w:p>
      <w:r>
        <w:t>A/3448/2023 - 11/16 - que le taux d’invalidité dans le cadre d’une révision du droit à la rente devait être établi sans référence au calcul effectué antérieurement par l’assurance- invalidité, dans le cas d’espèce en application de l’art. 31 aLAI dont la teneur avait dans l’intervalle été modifiée (arrêt du Tribunal fédéral 9C_718/2016 du 14 février 2017 consid. 6.2).</w:t>
      </w:r>
    </w:p>
    <w:p>
      <w:r>
        <w:rPr>
          <w:b/>
        </w:rPr>
        <w:t>E. 9.2</w:t>
      </w:r>
    </w:p>
    <w:p>
      <w:r>
        <w:t>La révision peut concerner les revenus sur lesquels se base la comparaison. Une augmentation du revenu d’invalide relève d’un motif de révision (KIESER, ATSG-Kommentar, 4ème éd. 2020, n. 37 ad art. 17). L’institution de la révision vise les changements dans les circonstances personnelles de l’assuré, dont font partie les facteurs économiques. Le degré d’invalidité ne peut ainsi pas être modifié uniquement en raison de changements non pas dans la situation concrète de l’assuré, mais seulement dans les données statistiques (ATF 133 V 545 consid. 7.1). Cela vaut également lorsqu’il existe un motif de révision lié à la personne de l’assuré, mais que la modification du degré de la rente résulte uniquement de changements dans les statistiques (arrêt du Tribunal fédéral 9C_8/2010 du 19 mars 2010 consid. 3.2).</w:t>
      </w:r>
    </w:p>
    <w:p>
      <w:r>
        <w:rPr>
          <w:b/>
        </w:rPr>
        <w:t>E. 9.3</w:t>
      </w:r>
    </w:p>
    <w:p>
      <w:r>
        <w:t>Dans le domaine de l'assurance-accidents, le caractère notable de la modification est admis lorsque le degré d'invalidité diffère d'au moins de 5% du taux initial (ATF 140 V 85 consid. 4.3 ; 133 V 545 consid. 6.2).</w:t>
      </w:r>
    </w:p>
    <w:p>
      <w:r>
        <w:rPr>
          <w:b/>
        </w:rPr>
        <w:t>E. 10</w:t>
      </w:r>
    </w:p>
    <w:p>
      <w:r>
        <w:t>En l’espèce, dans la décision sur opposition querellée, l’intimée a pris en compte le salaire après invalidité réalisé par l’assuré, travaillant à 100% depuis le 1er juin 2022 pour l’entreprise F______. Partant, la SUVA a supprimé le droit à la rente d’invalidité de manière rétroactive, à compter de la date de la prise d’emploi à 100% intervenue le 1er juin 2022. De son côté, le recourant estime que le revenu perçu pour la période allant du 1er juin 2022 au 31 août 2023 ne doit pas être pris en compte, dès lors qu’à partir du 1er septembre 2023 et suite à son licenciement, il s’est retrouvé au chômage.</w:t>
      </w:r>
    </w:p>
    <w:p>
      <w:r>
        <w:rPr>
          <w:b/>
        </w:rPr>
        <w:t>E. 10.1</w:t>
      </w:r>
    </w:p>
    <w:p>
      <w:r>
        <w:t>le recourant ne critique pas la quotité du revenu sans invalidité retenue par la SUVA, pas plus qu’il ne critique la quotité du revenu avec invalidité perçue à partir du 1er juin 2022. En revanche, il considère que les revenus perçus depuis cette date doivent être qualifiés de « transitoires uniquement ». On évalue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w:t>
      </w:r>
    </w:p>
    <w:p>
      <w:r>
        <w:t>A/3448/2023 - 12/16 - pour fixer le revenu d'invalide (ATF 139 V 592 consid. 2.3 et les références ; 135 V 297 consid. 5.2 et les références). Selon la jurisprudence, la preuve de l'existence d'un salaire dit « social » est soumise à des exigences sévères, car on doit partir du principe que les salaires payés équivalent normalement à une prestation de travail correspondante (ATF 141 V 351 consid. 4.2 et la référence).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(arrêt du Tribunal fédéral 8C_655/2021 du 27 juin 2022 consid. 6.4.3 et les références).</w:t>
      </w:r>
    </w:p>
    <w:p>
      <w:r>
        <w:rPr>
          <w:b/>
        </w:rPr>
        <w:t>E. 10.2</w:t>
      </w:r>
    </w:p>
    <w:p>
      <w:r>
        <w:t>À teneur du dossier, les rapports de travail ont duré du 1er juin 2022 au 31 août 2023. Le contrat signé entre les parties est un contrat de durée indéterminée, pour une activité exercée à 100%, auquel l’employeur a mis fin pour des raisons « économiques » à teneur de sa lettre de licenciement datée du 13 juillet 2023. Comme allégué par l’intimée, la durée des rapports de travail, soit quinze mois, est suffisante pour considérer qu’il s’agit de rapports de travail particulièrement stables, dès lors que le Tribunal fédéral a admis la prise en compte, par l’office de l'assurance-invalidité du Canton de Genève, d’un revenu stable, après une durée des rapports de travail de neuf mois seulement, dans un arrêt du 8 juillet 2020 (arrêt du Tribunal fédéral 9C_304/2020 consid. 5.2). Le recourant allègue qu’il s’occupait d’un poste lié à l’organisation du travail et ne réalisait pas de tâches physiques en raison de son état de santé. Le contrat de travail produit par le recourant mentionne qu’il avait été engagé en qualité de « peintre », sans la moindre mention de tâches liées à l’organisation du travail. Partant, on ne saurait se fonder sur cette allégation, non démontrée, pour admettre que l’activité exercée par l’assuré au sein de F______ contenait une part de salaire dit « social ».</w:t>
      </w:r>
    </w:p>
    <w:p>
      <w:r>
        <w:rPr>
          <w:b/>
        </w:rPr>
        <w:t>E. 10.3</w:t>
      </w:r>
    </w:p>
    <w:p>
      <w:r>
        <w:t>Le recourant allègue également que « depuis cette période », soit à la fin des rapports de travail chez F______, sa « situation médicale s’est encore détériorée » et qu’une opération sur son bras droit « aura prochainement lieu ». À teneur des pièces figurant au dossier, aucun rapport médical ne permet de retenir que la situation médicale du recourant se serait détériorée et qu’il en résulterait une diminution de sa capacité de travail dont il devrait être tenu compte. La dernière pièce médicale transmise par le recourant date du 12 septembre 2023 mais ne fait pas mention d’une détérioration de sa situation médicale. Il s’agit d’une consultation médicale de suivi, après l’intervention chirurgicale</w:t>
      </w:r>
    </w:p>
    <w:p>
      <w:r>
        <w:t>A/3448/2023 - 13/16 - du 12 juillet 2012, ne mentionnant aucun arrêt de travail pour l’année 2022 ou 2023, mais évoquant uniquement l’arrêt de travail pour la période allant du 13 mai au 28 juin 2020. Dans les propositions thérapeutiques, une infiltration radiocarpienne au poignet droit est envisagée de même qu’une opération de libération du nerf ulnaire et du nerf radial à l’arcade de Frohse ; il s’agit de toute évidence de suggestions, sans fixation de date pour une éventuelle opération. Compte tenu de ces éléments, la chambre de céans ne peut pas retenir, au degré de la vraisemblance prépondérante, que la situation médicale du recourant s’est modifiée. Il résulte de ce qui précède que c’est à juste titre que la SUVA a mis fin au versement de la rente d’invalidité à compter du 1er juin 2022.</w:t>
      </w:r>
    </w:p>
    <w:p>
      <w:r>
        <w:rPr>
          <w:b/>
        </w:rPr>
        <w:t>E. 11</w:t>
      </w:r>
    </w:p>
    <w:p>
      <w:r>
        <w:t>Reste à examiner le bien-fondé de la décision de restitution.</w:t>
      </w:r>
    </w:p>
    <w:p>
      <w:r>
        <w:rPr>
          <w:b/>
        </w:rPr>
        <w:t>E. 11.1</w:t>
      </w:r>
    </w:p>
    <w:p>
      <w:r>
        <w:t>Selon l’art. 25 al. 1 1re phr. LPGA, les prestations indûment touchées doivent être restituées. Selon la jurisprudence, il faut pour cela que les conditions d'une révision procédurale (art. 53 al. 1 LPGA) ou d'une reconsidération (art. 53 al. 2 LPGA) de la décision initiale soient remplies (ATF 130 V 380 consid. 2.3.1, ATF 130 V 318 consid. 5.2 ; arrêt du Tribunal fédéral 8C_469/2013 du 24 février 2014 consid. 2, non publié à l’ATF 140 V 70, mais in : SVR 2014 UV n° 14 p. 44 ; dans les deux cas avec références). En vertu de l’art. 53 LPGA, les décisions et les décisions sur opposition formellement passées en force sont soumises à révision si l’assuré ou l’assureur découvrent subséquemment des faits nouveaux importants ou trouvent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 l’état, des faits nouveaux importants ont été découverts par la SUVA, à savoir une reprise de travail à 100% dès le 1er juin 2022. Lesdits faits sont importants et postérieurs à la décision d’octroi de la rente de 2014 entrée en force. Ils revêtent de surcroît une importance notable dès lors qu’il s’agit du versement de prestations mensuelles d’un montant (en 2023) de CHF 912.05.</w:t>
      </w:r>
    </w:p>
    <w:p>
      <w:r>
        <w:rPr>
          <w:b/>
        </w:rPr>
        <w:t>E. 11.2</w:t>
      </w:r>
    </w:p>
    <w:p>
      <w:r>
        <w:t>S’agissant de la restitution du trop-perçu, la suppression ou la réduction d’une rente d’invalidité de l’assurance-accidents intervient avec effet rétroactif (« ex tunc ») et les mensualités perçues ainsi indûment doivent être restituées même s'il n'y a pas eu violation de l'obligation d'annoncer (ATF 142 V 259 consid. 3.2 ; voir également PETREMAND in Commentaire de la LPGA, 2018, n° 47 et 49 ad art. 25). En vertu de l'art. 25 al. 2 1ère phr. LPGA (dans sa teneur en vigueur à compter du 1er janvier 2021), le droit de demander la restitution s'éteint trois ans après le</w:t>
      </w:r>
    </w:p>
    <w:p>
      <w:r>
        <w:t>A/3448/2023 - 14/16 -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 consid. 1). Le délai de péremption relatif de trois ans, depuis la modification entrée en vigueur le 1er janvier 2021,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C 80/05 du 3 février 2006). Le délai de péremption d'une année [de trois ans depuis le 1er janvier 2021] commence à courir dans tous les cas aussitôt qu'il s'avère que les prestations en question étaient indues (ATF 133 V 579 consid. 5.1). Cette jurisprudence vise un double but, à savoir obliger l'administration à faire preuve de diligence, d'une part, et protéger</w:t>
      </w:r>
    </w:p>
    <w:p>
      <w:r>
        <w:t>A/3448/2023 - 15/16 - l'assuré au cas où celle-ci manquerait à ce devoir de diligence, d'autre part (ATF 124 V 380 consid. 1).</w:t>
      </w:r>
    </w:p>
    <w:p>
      <w:r>
        <w:rPr>
          <w:b/>
        </w:rPr>
        <w:t>E. 11.3</w:t>
      </w:r>
    </w:p>
    <w:p>
      <w:r>
        <w:t>En l’espèce, les pièces au dossier montrent que c’est à partir du mois de juin 2023, comme le démontre le courrier du 9 juin 2023 adressé à la CCGC, que la SUVA a commencé à collecter des données afin d’examiner, notamment, si les prestations versées à l’assuré devaient être maintenues ou modifiées. Après avoir obtenu les informations topiques de la CCGC et la transmission, par l’assuré, du contrat de travail avec F______, la SUVA a mis fin au versement de la rente, par décision du 14 août 2023 confirmée par décision sur opposition du 28 septembre 2023, soit largement dans le délai de trois ans de l’art. 25 LPGA. La décision de restitution du trop-perçu a donc été notifiée en temps utile. Il sied donc d’admettre, à la fois le principe de la restitution, ainsi que la quotité du montant dont l’intimée demande le remboursement, montant qui résulte des décomptes de prestations transmis par la SUVA et qui ne sont pas contestés par le recourant.</w:t>
      </w:r>
    </w:p>
    <w:p>
      <w:r>
        <w:rPr>
          <w:b/>
        </w:rPr>
        <w:t>E. 11.4</w:t>
      </w:r>
    </w:p>
    <w:p>
      <w:r>
        <w:t>S’agissant de la bonne foi et de la situation financière précaire alléguées par le recourant, il lui sera rappelé que ces conditions ne sont examinées que dans un second temps, après que la décision de restitution soit entrée en force et ceci pour autant que les conditions cumulatives de la bonne foi et d’une situation (financière) difficile soient réunies (art. 4 de l'ordonnance sur la partie générale du droit des assurances sociales du 11 septembre 2002 [OPGA - RS 830.11]). Il appartiendra à la SUVA de se prononcer, spontanément, sur la demande de remise formulée dans les écritures du recourant, une fois le présent arrêt entré en force.</w:t>
      </w:r>
    </w:p>
    <w:p>
      <w:r>
        <w:rPr>
          <w:b/>
        </w:rPr>
        <w:t>E. 12</w:t>
      </w:r>
    </w:p>
    <w:p>
      <w:r>
        <w:t>Compte tenu de ce qui précède, la chambre de céans n’a d’autre choix que de rejeter le recours.</w:t>
      </w:r>
    </w:p>
    <w:p>
      <w:r>
        <w:rPr>
          <w:b/>
        </w:rPr>
        <w:t>E. 13</w:t>
      </w:r>
    </w:p>
    <w:p>
      <w:r>
        <w:t>Pour le surplus, la procédure est gratuite (art. 61 let. fbis LPGA a contrario).</w:t>
      </w:r>
    </w:p>
    <w:p>
      <w:r>
        <w:t>A/3448/2023 - 16/16 -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