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ATAS/152/2011 vom 15. Februar 2011</w:t>
      </w:r>
    </w:p>
    <w:p>
      <w:r>
        <w:t>GE Cour de justice, 2011-02-15, FR</w:t>
      </w:r>
    </w:p>
    <w:p>
      <w:r>
        <w:rPr>
          <w:b/>
        </w:rPr>
        <w:t xml:space="preserve">Quelle: </w:t>
      </w:r>
      <w:r>
        <w:t>https://mcp.opencaselaw.ch/entscheid/ge_gerichte_ATAS_152_2011</w:t>
      </w:r>
    </w:p>
    <w:p>
      <w:r>
        <w:t>FR: GE_GERICHTE ATAS/152/2011 du 15 février 2011</w:t>
      </w:r>
    </w:p>
    <w:p>
      <w:r>
        <w:t>IT: GE_GERICHTE ATAS/152/2011 del 15 febbraio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w:t>
      </w:r>
    </w:p>
    <w:p>
      <w:r>
        <w:t>A/3611/2010 - 10/17 -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nouvelle demande de prestations a été déposée le 30 novembre 2007. La recourante invoque une péjoration de son état de santé depuis fin 2006 ou début 2007. La loi fédérale sur la partie générale du droit des assurances sociales du</w:t>
      </w:r>
    </w:p>
    <w:p>
      <w:r>
        <w:rPr>
          <w:b/>
        </w:rPr>
        <w:t>E. 6</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A/3611/2010 - 12/17 -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Selon la jurisprudence,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w:t>
      </w:r>
    </w:p>
    <w:p>
      <w:r>
        <w:t>A/3611/2010 - 13/17 -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 b)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A/3611/2010 - 14/17 -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Si l'administration ou le juge, se fondant sur une appréciation consciencieuse des preuves fournies par les investigations auxquelles ils doivent procéder d'office, sont convaincus que certains faits présentent un degré de vraisemblance prépondérante</w:t>
      </w:r>
    </w:p>
    <w:p>
      <w:r>
        <w:t>A/3611/2010 - 15/17 -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En l’espèce, la recourante a été soumise à une expertise rhumato-psychiatrique effectuée par les Drs F________, I________ et H________, médecins auprès du BREM. Dans leur rapport du 22 avril 2010, ces médecins ont retenu comme seul diagnostic ayant une répercussion sur la capacité de travail une anxiété généralisée, laquelle implique des limitations qualitatives et quantitatives de l’activité professionnelle, en raison d’une anxiété anticipatrice et un seuil anxiogène abaissé. Aucun diagnostic rhumatologique n’est retenu, la fibromyalgie est écartée, en raison de l’absence de points douloureux. Les autres diagnostics psychiatriques, soit l’agoraphobie et le trouble hypocondriaque sont sans répercussion sur la capacité de travail. La Cour de céans constate que le rapport des experts se base tant sur des examens de la recourante, sur ses plaintes, son dossier médical et radiologique et sur une anamnèse complète, dès lors qu’elle est composée d’un volet familial, professionnel et personnel, médical, social et psychiatrique. Les diagnostics ont été précisément posés et la description et l’appréciation médicales sont claires. En effet, les experts se sont exprimés sur les raisons qui les amenaient à retenir les différents diagnostics, sur celles qui leur permettaient d'admettre une diminution de la capacité de travail de 50% seulement depuis novembre 2003 ainsi que sur les limitations fonctionnelles dont il y avait lieu de tenir compte. Leurs conclusions sont motivées et convaincantes. De plus, leur rapport ne contient ni contradictions ni indice permettant de remettre en cause le bien-fondé des conclusions. La recourante fait cependant valoir que l’aggravation de son état de santé depuis janvier 2006 a été attestée par d’autres médecins et que la fibromyalgie a été retenue par les HUG. Toutefois, la Dresse A_________ a attesté en janvier 2008 d’une incapacité de travail de 100% depuis 2000, l’état de santé étant resté stationnaire. Quant à la Dresse B________, elle a certes posé le diagnostic de fibromyalgie dans son rapport du 25 février 2008, se fondant sur l’hospitalisation de sa patiente durant le mois de février 2008, mais sans préciser la gravité des troubles psychiatriques, ni mentionner le suivi psychiatrique en cours et le traitement médicamenteux prescrit,</w:t>
      </w:r>
    </w:p>
    <w:p>
      <w:r>
        <w:t>A/3611/2010 - 16/17 - ni en quoi l’état psychique s’était aggravé. S’agissant du rapport des HUG du 29 février 2008, il mentionne également le diagnostic de fibromyalgie, sans précision quant à l’examen clinique effectué ou l’anamnèse, la courte hospitalisation étant motivée par des douleurs diffuses. C’est précisément pour examiner de façon précise l’état psychique et rhumatologique de l’assurée, les documents susmentionnés étant insuffisants pour les apprécier, que le dossier avait été renvoyé par le Tribunal cantonal des assurances sociales à l’OAI, afin de mettre en œuvre une expertise bidisciplinaire. Celle-ci exclut de façon convaincante le diagnostic de fibromyalgie et n’est pas valablement contredite par les documents susmentionnés. Par conséquent, il doit être constaté que le rapport d’expertise du BREM présente pleine valeur probante au sens de la jurisprudence. En conséquence, l'état de santé et la capacité de travail de l'assurée ne se sont pas modifiés depuis la décision du 18 janvier 2006. Celle-ci continue à souffrir d'anxiété, qui l'empêche d'exercer à plus de 50% une activité adaptée, soit sans stress excessif. A défaut d'aggravation notable de l'état de santé de l'assurée ou de modification sensible des effets de son état de santé sur sa capacité de travail, qui justifieraient la révision de la décision du 18 janvier 2006, c'est à juste titre que l'OAI a rejeté la demande du 29 novembre 2007. A cet égard, l'assurée n'invoque pas le fait que son taux d'invalidité serait notablement modifié du fait d'une réduction sensible du revenu statistique dans une activité adaptée entre janvier 2006 et la décision dont est recours. Elle conteste toutefois le calcul du taux d'invalidité de l'OAI, soit celui effectué à l'époque de la décision du 18 janvier 2006, faisant valoir que ses associés avaient attesté en 2002 qu'elle réalisait un salaire bien supérieur à celui retenu. Ce faisant, l'assurée sollicite en réalité une révision, voire une reconsidération sur la base de l'art. 53 LPGA de la décision du 18 janvier 2006, entrée en force. Or, manifestement, aucune des conditions légales de la révision ou de la reconsidération n'est remplie en l'espèce. Si l'assurée voulait contester les revenus sans invalidité et ceux d'invalide pris en compte lors de la décision du 18 janvier 2006, sur la base des pièces produites, il lui était loisible de former recours contre la décision en question. A défaut de modification de l'état de santé ou de la capacité de travail, il ne se justifie pas de revoir les bases de calcul ayant fondé la décision du 18 janvier 2006.</w:t>
      </w:r>
    </w:p>
    <w:p>
      <w:r>
        <w:rPr>
          <w:b/>
        </w:rPr>
        <w:t>E. 10</w:t>
      </w:r>
    </w:p>
    <w:p>
      <w:r>
        <w:t>Le recours, mal fondé, est donc rejeté.</w:t>
      </w:r>
    </w:p>
    <w:p>
      <w:r>
        <w:rPr>
          <w:b/>
        </w:rPr>
        <w:t>E. 11</w:t>
      </w:r>
    </w:p>
    <w:p>
      <w:r>
        <w:t>L'émolument, fixé à 200 fr, est mis à la charge de la recourante, qui succombe (art. 69 al. 1bis LAI).</w:t>
      </w:r>
    </w:p>
    <w:p>
      <w:r>
        <w:t>A/3611/2010 - 17/17 -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