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ATAS/152/2010 vom 11. Februar 2010</w:t>
      </w:r>
    </w:p>
    <w:p>
      <w:r>
        <w:t>GE Cour de justice, 2010-02-11, FR</w:t>
      </w:r>
    </w:p>
    <w:p>
      <w:r>
        <w:rPr>
          <w:b/>
        </w:rPr>
        <w:t xml:space="preserve">Quelle: </w:t>
      </w:r>
      <w:r>
        <w:t>https://mcp.opencaselaw.ch/entscheid/ge_gerichte_ATAS_152_2010</w:t>
      </w:r>
    </w:p>
    <w:p>
      <w:r>
        <w:t>FR: GE_GERICHTE ATAS/152/2010 du 11 février 2010</w:t>
      </w:r>
    </w:p>
    <w:p>
      <w:r>
        <w:t>IT: GE_GERICHTE ATAS/152/2010 del 11 febbraio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en temps utile auprès de l’autorité compétente et dans les formes prescrites, par une assurée directement touchée dans ses intérêts juridiquement protégés par la décision querellée, le présent recours est recevable (art.56 ss LPGA).</w:t>
      </w:r>
    </w:p>
    <w:p>
      <w:r>
        <w:rPr>
          <w:b/>
        </w:rPr>
        <w:t>E. 3</w:t>
      </w:r>
    </w:p>
    <w:p>
      <w:r>
        <w:t>La recourante a conclu à ce que le Tribunal constate qu’elle avait droit à un trois- quarts de rente à partir du 1er octobre 2005 puis, dès le 1er janvier 2006, à une rente entière d’invalidité. Dans la décision litigieuse, l’OAI lui a octroyé un trois-quarts de rente du 1er octobre au 31 décembre 2005, une rente entière du 1er janvier 2006 au 30 décembre 2008, ainsi qu’une demi-rente à partir du 31 décembre 2008. Il faut ainsi considérer que la recourante conteste, en réalité, uniquement la réduction de moitié de sa rente à partir du 31 décembre 2008, la rente accordée du 1er octobre 2005 au 30 décembre 2008 n’étant pas contestée ni dans son principe, ni dans sa quotité.</w:t>
      </w:r>
    </w:p>
    <w:p>
      <w:r>
        <w:rPr>
          <w:b/>
        </w:rPr>
        <w:t>E. 4</w:t>
      </w:r>
    </w:p>
    <w:p>
      <w:r>
        <w:t>Selon la jurisprudence, le bien-fondé d'une décision d'octroi, à titre rétroactif, d'une rente limitée dans le temps, doit être examiné à la lumière des conditions de révision du droit à la rente (ATF 125 V 413 consid. 2d).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w:t>
      </w:r>
    </w:p>
    <w:p>
      <w:r>
        <w:rPr>
          <w:b/>
        </w:rPr>
        <w:t>E. 5</w:t>
      </w:r>
    </w:p>
    <w:p>
      <w:r>
        <w:t>Préalablement, il y a lieu de constater que l’OAI a accordé à l’assurée une rente de 100% du 1er janvier 2006 au 30 décembre 2008 en se basant sur la constatation que celle-ci s’est trouvée totalement empêchée de travailler durant cette période, et cela y compris dans une activité adaptée. Or, dans son avis du 12 octobre 2007, dont les conclusions ne sont d’ailleurs pas contestées par la recourante, le SMR, se fondant en partie sur les conclusions de la psychiatre traitante et celles de l’expert, a estimé que l’assurée disposait, dès juillet 2007, d’une capacité de travail de 50% dans une activité adaptée. Il précisait en outre que l’état de santé devrait s’améliorer « prochainement » et la capacité de travailler augmenter, « raison pour laquelle une</w:t>
      </w:r>
    </w:p>
    <w:p>
      <w:r>
        <w:t>A/1976/2009 - 9/14 - révision est proposée dans un an » (soit : octobre 2008). Par ailleurs, l’expert psychiatre a estimé que l’expertisée disposait d’une capacité résiduelle de travail de 50% dès juillet 2007 et que « l’on devait partir de l’idée » que l’assurée pourrait reprendre une activité adaptée, à plein temps, sans baisse de rendement, dès le 20 janvier 2008 (rapport d’expertise 20 juillet 2007, p. 11, § 2.2). Selon la psychiatre traitante, « à moyen terme », une activité adaptée (travail administratif, sans contact avec des personnes démunies) était éventuellement envisageable, à 50% (rapport du 18 août 2005). Quant aux maîtres de réadaptation, ils ont conclu que l’assurée avait une capacité de travail de 50% dans une activité adaptée (rapports EPI des 6 juin et 12 août 2008). Le rapport d’observation CAM du 30 avril 2008 précise à cet égard que les chances de succès dans un reclassement étaient incertaines, l’atteinte de l’objectif d’une pleine employabilité après une année restait encore théorique (temps de réaction plus long que la normale ; fragilité affective et humeur fluctuante ; faible capacité d’adaptation (rapport, p. 12). En particulier, l’assurée avait abordé la mesure avec un fort sentiment d’échec et un grand désarroi psychologique (p. 13) et dans les travaux de type tertiaire/bureau, elle avait un rendement de 50% (p. 15). Le rapport ESPACE du 3 juin 2008 souligne que l’assurée manquait visiblement de confiance en elle, faisait preuve d’une grande fragilité émotionnelle et avait trop tendance à prendre sur elle. Elle avait une faible tolérance au stress, ce qui avait été confirmé par une absence de 3 jours. Enfin, début septembre 2008, elle s’est trouvée dans l’incapacité totale de travailler, apparemment pour des raisons psychiques (cf. certificat du 2 septembre 2008, dans lequel la psychiatre traitante a par ailleurs renoncé à préciser la durée de l’incapacité). Dans ces conditions, et dans la mesure où les avis médicaux versés au dossier ne sont pas suffisamment motivés à cet égard, le Tribunal de céans peut, à l’instar de l’OAI, considérer comme établi, au degré de la vraisemblance prépondérante, que l’assurée a, conformément aux conclusions convaincantes des maîtres de réadaptation (cf. ATF 125 V 261 consid. 4, a contrario), fondées sur des stages d’observation de plusieurs mois, recouvré une capacité de travail à 50%, dans une activité adaptée (rapports EPI des 6 juin et 12 août 2008), dès le 1er décembre 2008 (pour tenir compte du délai de trois mois prévu par l’art. 88a RAI). S’agissant de la période du 1er décembre au 30 décembre 2008 durant laquelle l’OAI a accordé une rente entière sur la base d’une incapacité totale (au lieu de 50%), dans toute activité, le Tribunal renoncera à procéder à une reformatio in peius en l’occurrence (art. 61 let. d LPGA).</w:t>
      </w:r>
    </w:p>
    <w:p>
      <w:r>
        <w:rPr>
          <w:b/>
        </w:rPr>
        <w:t>E. 6</w:t>
      </w:r>
    </w:p>
    <w:p>
      <w:r>
        <w:t>Dans son pourvoi, la recourante reproche tout d’abord à l’office intimé d’avoir appliqué en l’espèce la méthode d’évaluation de l’invalidité dite mixte au lieu de la méthode générale de comparaison des revenus.</w:t>
      </w:r>
    </w:p>
    <w:p>
      <w:r>
        <w:t>A/1976/2009 - 10/14 - 6a. Aux termes des art. 8 LPGA et 4 LAI, l'invalidité est la diminution de la capacité de gain, présumée permanente ou de longue durée, qui résulte d'une atteinte à la santé physique ou mentale, provenant d'une infirmité congénitale, d'une maladie ou d'un accident qu’il importe d’évaluer (ATF 110 V 275 consid. 4a ; 105 V 207 consid. 2). 6b. Selon l'art. 28 al. 2 LAI, l'assuré a droit à une demi-rente s'il est invalide à 50% au moins, à trois quarts de rente s'il est invalide à 60% au moins et à une rente entière s'il est invalide à 70% au moins. L’art. 28a al. 3 LAI prescrit que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Selon l’art. 28a al. 2 LAI, l’invalidité de l’assuré qui n’exerce pas d’activité lucrative et dont on ne peut raisonnablement exiger qu’il en entreprenne une est évaluée en fonction de son incapacité à accomplir ses travaux habituels. 6c.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6d. Tant lors de l'examen initial du droit à la rente qu'à l'occasion d'une révision de celle-ci (art. 41 LAI), il faut examiner sous l'angle des art. 4 et 5 LAI quelle méthode d'évaluation de l'invalidité il convient d'appliquer. Le choix de l'une des trois méthodes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393 consid. 3.3 ; ATF 125 V 150 consid. 2c). La part de l'activité professionnelle dans l'ensemble des travaux de l'assuré est déterminée en comparant l'horaire de travail usuel dans la</w:t>
      </w:r>
    </w:p>
    <w:p>
      <w:r>
        <w:t>A/1976/2009 - 11/14 - profession en question et l'horaire accompli par l'assuré valide; on calcule donc le rapport en pourcentage entre ces deux valeurs. La part des travaux habituels constitue le reste du pourcentage (ATF 130 V 395 consid. 3.3 ; 104 V 136 consid. 2a). 6e. Pour savoir si un assuré doit être considéré comme exerçant une activité lucrative, à plein temps ou à temps partiel, il convient d’examiner ce qu’il aurait fait dans les mêmes circonstances s’il n’était pas atteint dans sa santé, en tenant compte d’éléments tels que la situation financière du ménage, l’éducation des enfants, l’âge de l’assuré, ses qualifications professionnelles, sa formation ainsi que ses affinités et talents personnels (ATF 125 V 150 consid. 2c et références) sans que l'une des composantes ait la préférence sur l'autre (ATF 117 V 196 s. consid. 4b; VSI 1997 p. 302 s. consid. 2c. Cette évaluation tiendra en outre compte de la volonté hypothétique de l’assurée (arrêt du 22 juillet 2009, 9C_321/2009, consid. 4.1). 6f.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rPr>
          <w:b/>
        </w:rPr>
        <w:t>E. 7</w:t>
      </w:r>
    </w:p>
    <w:p>
      <w:r>
        <w:t>En l’occurrence, le dossier ne fait pas ressortir d'indices concrets permettant de retenir que la recourante rencontrait antérieurement au mois de mars 2000 - date à laquelle son taux d’activité est passé de 50% à 90% - des difficultés professionnelles en raison d'une dégradation progressive de son état de santé, qui l'auraient contrainte à renoncer à travailler à 100%. Les circonstances ne justifiaient par ailleurs pas que la recourante augmentât de manière durable son taux d'occupation professionnelle de 10%. Celle-ci n’a d’ailleurs fait état d'aucun changement de la situation économique ou financière la contraignant à augmenter ses revenus depuis mars 2000, étant par ailleurs relevé qu’à l’époque sa fille (alors âgée de 14 ans et 9 mois) était encore mineure et, partant, à sa charge. En particulier, elle n’a pas fait valoir que son salaire (qui s’est élevé à 80'867 fr. par an en 2005) n’était pas suffisant pour son entretien ou celui de sa fille, ni que, le cas échéant, le père de celle-ci ne contribuait pas à son entretien ou que, lors du dépôt de la demande d’invalidité (juillet 2005), sa fille, alors âgée de 20 ans (titulaire d’un diplôme de culture générale et sans emploi fixe), dépendait encore financièrement d’elle. En tout état, il ne ressort pas du dossier que tel aurait été le cas, au 31 décembre 2008, date à partir de laquelle la rente entière a été réduite à une demi- rente. La recourante n’a pas davantage prétendu qu’elle n’aurait pas été en mesure d'exercer une activité lucrative à un taux plus élevé si elle l'avait souhaité. Au contraire, alors qu’elle aurait pu travailler à 100% dans un poste d’assistante</w:t>
      </w:r>
    </w:p>
    <w:p>
      <w:r>
        <w:t>A/1976/2009 - 12/14 - administrative, dès décembre 2005, l’assurée a volontairement continué à travailler à 90%, étant au demeurant observé qu’elle conservait une classe de traitement identique à celle qui était la sienne lorsqu’elle travaillait comme assistante sociale. Enfin, est symptomatique le fait que l’assurée n’ait pas d’emblée contesté la répartition retenue par l’OAI (90/10) dans son projet de décision du 5 janvier 2009 et qu’elle n’ait remis en cause ladite répartition qu’au stade du recours déposé le 5 juin suivant sans d’ailleurs expressément affirmer, pour autant, qu’elle aurait travaillé à 100% sans son atteinte à la santé. Dès lors, force est de considérer, comme établi au degré de vraisemblance prépondérante, que si l'atteinte à la santé n'était pas survenue, l’assurée aurait poursuivi l'exercice d'une activité lucrative principale à 90%, consacrant le reste de son temps à la tenue de son ménage. Par conséquent, il convient de confirmer la répartition des tâches retenues par l’OAI, selon laquelle la recourante aurait exercé, à la date déterminante du 31 décembre 2008, une activité lucrative à raison de 90% et aurait consacré le reste de son temps à ses travaux habituels, étant par ailleurs relevé que c’est à juste titre que l’autorité intimée a retenu qu’il n’existait pas de limitations fonctionnelles dans la sphère domestique – ce qui n’est d’ailleurs pas contesté. Par surabondance, on relèvera, à toutes fins utiles, que, contrairement à ce que semble penser la recourante, une enquête sur les activités ménagères n'est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 enquête économique à fixer l'empêchement dans l'accomplissement des travaux habituels (ATFA du 4 février 2003, cause I 726/02).</w:t>
      </w:r>
    </w:p>
    <w:p>
      <w:r>
        <w:rPr>
          <w:b/>
        </w:rPr>
        <w:t>E. 8</w:t>
      </w:r>
    </w:p>
    <w:p>
      <w:r>
        <w:t>La recourante fait également grief à l’office intimé de n’avoir pas correctement calculé son revenu d’invalide. Selon elle, ce revenu aurait dû être fixé en référence au tableau TA 1, poste de niveau 4, dans un domaine de travail correspondant à la ligne 23 (autres travaux administratifs), et réduit de 10%, selon l’approche pluridisciplinaire. 8a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w:t>
      </w:r>
    </w:p>
    <w:p>
      <w:r>
        <w:t>A/1976/2009 - 13/14 -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et les références citées). 8b En l’occurrence, c’est à juste titre que l’OAI s’est écarté des salaires mensuels indiqués dans la table ESS TA1 et s’est référé à la table TA7, en particulier au domaine «secrétariat, travaux de chancellerie » (ligne 22), niveau de qualification 3 (connaissances professionnelles spécialisées), étant donné que l’assurée avait accès au secteur public, que ce type d’activité apparaît tout à fait adapté aux compétences, à l’expérience professionnelle et aux formations complémentaires de la recourante et qu’elle est exigible du point de vue de son état de santé (comp. arrêt 9C_142/2009, arrêt du 20 novembre 2009). On rappellera à ce dernier propos que l’assurée a elle-même admis que l’activité exercée dans le cadre de son stage auprès de XB___________ correspondait à ce qu’elle faisait chez Y_________ et était compatible avec son atteinte (cf. supra, § 2 et 13). 8c En revanche, l’office intimé aurait dû procéder à un abattement du salaire statistique d’invalide, fixé à 5% en l’occurrence, compte tenu du taux d’activité partiel de l’assurée, lequel est en effet susceptible d’avoir une influence sur son revenu. Il n’y a pas lieu de retenir un taux supérieur, étant donné que l’assurée est en dessous du seuil à partir duquel le Tribunal fédéral parle d’âge avancé (ibid), qu’elle bénéficie d’une expérience professionnelle depuis 1977, complétée par ailleurs par une formation de mise à niveau des connaissances bureautiques et linguistiques octroyée dans le cadre de la réadaptation, et que ses limitations fonctionnelles ont déjà été prises en comptes dans le taux d’activé réduit de 50% (comp. arrêt du 21 novembre 2009, 9C_142/2009). 8d Dès lors, le salaire d’invalide s’élève à 34'225 fr. (au lieu de 36'026 fr.), ce qui donne un taux d’incapacité de gain de 59% [(99'567 fr. - 34'225 fr.) : 99'567% 100% x 90%]. Ce taux donne droit à une demi-rente. 8e Il s’ensuit que c’est à juste titre que l’OAI a alloué une demi-rente à l’assurée dès le 31 décembre 2008.</w:t>
      </w:r>
    </w:p>
    <w:p>
      <w:r>
        <w:t>A/1976/2009 - 14/14 -</w:t>
      </w:r>
    </w:p>
    <w:p>
      <w:r>
        <w:rPr>
          <w:b/>
        </w:rPr>
        <w:t>E. 9</w:t>
      </w:r>
    </w:p>
    <w:p>
      <w:r>
        <w:t>Au vu de ce qui précède, le recours doit être rejeté.</w:t>
      </w:r>
    </w:p>
    <w:p>
      <w:r>
        <w:rPr>
          <w:b/>
        </w:rPr>
        <w:t>E. 10</w:t>
      </w:r>
    </w:p>
    <w:p>
      <w:r>
        <w:t>Succombant, la recourante est tenue de payer un émolument de 200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