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ATAS/151/2025 vom 13. März 2025</w:t>
      </w:r>
    </w:p>
    <w:p>
      <w:r>
        <w:t>GE Cour de justice, 2025-03-13, FR</w:t>
      </w:r>
    </w:p>
    <w:p>
      <w:r>
        <w:rPr>
          <w:b/>
        </w:rPr>
        <w:t xml:space="preserve">Quelle: </w:t>
      </w:r>
      <w:r>
        <w:t>https://mcp.opencaselaw.ch/entscheid/ge_gerichte_ATAS_151_2025</w:t>
      </w:r>
    </w:p>
    <w:p>
      <w:r>
        <w:t>FR: GE_GERICHTE ATAS/151/2025 du 13 mars 2025</w:t>
      </w:r>
    </w:p>
    <w:p>
      <w:r>
        <w:t>IT: GE_GERICHTE ATAS/151/2025 del 13 marzo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et le délai prévus par la loi, le recours est recevable (art. 56 ss LPGA, applicable par le renvoi de l’art. 1 al. 1 LAA ; art. 62 ss et 89A de la loi sur la procédure administrative du 12 septembre 1985 [LPA - E 5 10]).</w:t>
      </w:r>
    </w:p>
    <w:p>
      <w:r>
        <w:rPr>
          <w:b/>
        </w:rPr>
        <w:t>E. 2</w:t>
      </w:r>
    </w:p>
    <w:p>
      <w:r>
        <w:t>Le litige porte sur la question de savoir si les troubles dont souffre la recourante au niveau du genou gauche doivent être pris en charge par l'intimée au-delà du 31 décembre 2023.</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w:t>
      </w:r>
    </w:p>
    <w:p>
      <w:r>
        <w:rPr>
          <w:b/>
        </w:rPr>
        <w:t>E. 3.2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3.3</w:t>
      </w:r>
    </w:p>
    <w:p>
      <w:r>
        <w:t>et les références). Aussi n’existe-t-il pas, en droit des assurances sociales, un principe selon lequel l’administration ou le juge devrait statuer, dans le doute, en faveur de l’assuré (ATF 135 V 39 consid. 6. 1 et la référence).</w:t>
      </w:r>
    </w:p>
    <w:p>
      <w:r>
        <w:rPr>
          <w:b/>
        </w:rPr>
        <w:t>E. 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A/2203/2024 - 12/20 -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 142 V 58 consid. 5.1 ; 139 V 225 consid. 5.2 ; 135 V 465 consid. 4.4).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w:t>
      </w:r>
    </w:p>
    <w:p>
      <w:r>
        <w:t>A/2203/2024 - 13/20 -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Selon une jurisprudence constante, les médecins d'arrondissement ainsi que les spécialistes du centre de compétence de la médecine des assurances de la SUVA sont considérés, de par leur fonction et leur position professionnelle, comme étant des spécialistes en matière de traumatologie, indépendamment de leur spécialisation médicale (arrêt du Tribunal fédéral 8C_626/2021 du 19 janvier 2022 consid. 4.3.1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130 III 321 consid. 3.2 et</w:t>
      </w:r>
    </w:p>
    <w:p>
      <w:r>
        <w:rPr>
          <w:b/>
        </w:rPr>
        <w:t>E. 5.2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w:t>
      </w:r>
    </w:p>
    <w:p>
      <w:r>
        <w:t>A/2203/2024 - 14/20 -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6</w:t>
      </w:r>
    </w:p>
    <w:p>
      <w:r>
        <w:t>En l’espèce, il convient de rappeler, à titre préliminaire, que selon la jurisprudence relative au principe d'uniformité de la notion d'invalidité dans l'assurance sociale, l'évaluation de l'invalidité par les organes de l'assurance-invalidité n'a pas de force contraignante pour l'assureur-accidents (ATF 131 V 362 consid. 2.3 p. 368). Il est donc admissible d'évaluer l'invalidité de la recourante indépendamment de la décision rendue en matière d'assurance-invalidité (arrêt du Tribunal fédéral 8C_772/2020 du 9 juillet 2021 consid. 3.1). Par conséquent, l’intimée n’est pas liée par l’évaluation de l’OAI, étant au surplus relevé que ce dernier n’avait pas statué de manière définitive lorsque la décision dont est recours a été rendue.</w:t>
      </w:r>
    </w:p>
    <w:p>
      <w:r>
        <w:rPr>
          <w:b/>
        </w:rPr>
        <w:t>E. 6.1</w:t>
      </w:r>
    </w:p>
    <w:p>
      <w:r>
        <w:t>En l'occurrence, il est en premier lieu relevé que la recourante a admis, dans son mémoire de réplique, ne souffrir d'aucun diagnostic psychique (cf. mémoire de réplique, p. 7), ce que la Dre M______ a d'ailleurs retenu dans son rapport du 24 septembre 2024 en indiquant qu'il n'y avait pas de diagnostic actif sur le plan psychiatrique, ni de limitation fonctionnelle en lien avec un diagnostic psychiatrique. La recourante a par ailleurs renoncé, dans son mémoire de réplique, à demander la mise en œuvre d'une expertise psychiatrique. Par conséquent, la chambre de céans considère comme établi, au degré de la vraisemblance prépondérante, que la recourante ne souffre d'aucun diagnostic psychique ayant une incidence sur sa capacité de travail. Il s'agit donc d'examiner le présent cas du point de vue de l'atteinte somatique de la recourante.</w:t>
      </w:r>
    </w:p>
    <w:p>
      <w:r>
        <w:rPr>
          <w:b/>
        </w:rPr>
        <w:t>E. 6.2</w:t>
      </w:r>
    </w:p>
    <w:p>
      <w:r>
        <w:t>S'agissant de la question de la stabilisation de l'état de santé, l'intimée s'est fondée sur le rapport du Dr L______ du 23 juin 2023 pour retenir que l'état de santé de la recourante était définitivement stabilisé dès le jour de l'examen de la recourante par ce médecin d'assurance, soit dès le 19 juin 2023. Si, dans un premier temps, la recourante n'a pas contesté cette stabilisation au vu de l'appréciation du Dr K______ du 23 juin 2023, à teneur de laquelle ce dernier ne prévoyait pas de revoir l'intéressée en raison de l'absence de solution chirurgicale envisageable et du manque d'alternative thérapeutique (cf. mémoire</w:t>
      </w:r>
    </w:p>
    <w:p>
      <w:r>
        <w:t>A/2203/2024 - 15/20 - de recours, p. 17), elle s'est, par la suite, fondée sur les conclusions des Drs R______ et H______ pour contester la stabilisation de son état de santé (cf. mémoire de réplique, p. 5). Dans son rapport d'expertise du 5 août 2024, établi à la demande de l'OAI, le Dr R______ a indiqué que les chances de guérison ou d'amélioration au moyen d'un traitement conservateur étaient pratiquement nulles. Pour sa part, le Dr H______ a retenu, dans son rapport du 3 septembre 2024, que des traitements conservateurs (poursuite de la physiothérapie et infiltration du genou gauche) étaient encore possibles. De l'avis de la recourante, les conclusions contradictoires de ces deux spécialistes justifiaient la mise en œuvre d'une expertise orthopédique par l'intimée. La chambre de céans rappellera que, conformément à la jurisprudence fédérale, la simple possibilité qu'un traitement médical donne des résultats positifs ou l'avancée minime que l'on peut attendre d'une mesure thérapeutique ne confèrent pas à un assuré le droit de recevoir de tels soins (arrêt du Tribunal fédéral U 244/04 du 20 mai 2005 consid. 2). Dès lors, l'administration d'un traitement par infiltrations, tel que suggéré par le Dr H______, qui n'a qu'un but antalgique, ne suffit pas à exclure la stabilisation de l’état de santé de la recourante. S'agissant de la proposition de mise en place d'un stimulateur endo-médullaire par le Dr K______ en date du 23 juin 2023, qualifiée par ce spécialiste d' « idée potentiellement favorable dès lors qu'une solution chirurgicale n'était pas envisageable » et de la recommandation du Dr P______ de procéder à un tel essai de neurostimulation médullaire, qui ne devait être envisagé qu'à l'épuisement du traitement conservateur et uniquement dans le cas où les douleurs devenaient encore plus invalidantes (cf. rapport du Dr P______ du 16 mai 2023), elles ne constituent qu'une simple possibilité d'une amélioration notable de l'état de santé de la recourante. Il en va de même du traitement par injections de toxine botulique évoqué par le Dr Q______ dans son rapport du 1er décembre 2023, dès lors que ce traitement ne pouvait apporter, selon ce spécialiste, qu'une amélioration potentielle de la symptomatologie. Il est au surplus relevé que le Dr Q______ a en outre conclu qu'aucune prise en charge chirurgicale n'était raisonnablement possible pour améliorer les symptômes et que les techniques actuelles étaient arrivées à leur terme d'efficacité et que, selon l'appréciation du Dr R______, les chances de guérison ou d'amélioration avec un traitement conservateur étaient pratiquement nulles, la recourante étant candidate à la mise en place d'une prothèse totale du genou gauche (cf. rapport d'expertise du Dr R______ du 5 août 2024, p. 11). Enfin, conformément à la jurisprudence fédérale, le bénéfice que peut amener la poursuite de la physiothérapie préconisée par le Dr H______ ne fait pas obstacle à la clôture du cas (arrêt du Tribunal fédéral 8C_39/2018 du 11 juillet 2018 et les références).</w:t>
      </w:r>
    </w:p>
    <w:p>
      <w:r>
        <w:t>A/2203/2024 - 16/20 - Au vu de ces éléments, la chambre de céans retient que l'état de santé est stabilisé dès le 19 juin 2023, soit la date correspondant à l'examen médical de la recourante par le Dr L______. Par conséquent, c'est à bon droit que l'intimée a mis fin au versement des indemnités journalières au 31 décembre 2023, tout en maintenant le traitement de physiothérapie, les traitements préconisés par le centre de la douleur des HUG ainsi que les consultations médicales pour une durée de douze mois.</w:t>
      </w:r>
    </w:p>
    <w:p>
      <w:r>
        <w:rPr>
          <w:b/>
        </w:rPr>
        <w:t>E. 6.3</w:t>
      </w:r>
    </w:p>
    <w:p>
      <w:r>
        <w:t>L'état de santé de la recourante étant stabilisé, se pose la question de son droit éventuel à une rente d'invalidité au sens de l'art. 18 al. 1 LAA. En effet, dès lors que l'intimée a retenu que la recourante présentait une capacité de travail entière dans son activité habituelle de comptable/responsable du contentieux, considérant par là même que ladite activité était adaptée aux limitations fonctionnelles retenues par le Dr L______, elle a ainsi implicitement refusé de lui allouer une rente d'invalidité. Il convient donc d'examiner la capacité de travail de la recourante telle que retenue par le Dr L______ et de confronter les conclusions de ce médecin de l'assurance aux autres appréciations médicales figurant au dossier. Pour rappel, dans son rapport du 22 juin 2023, le Dr L______ a retenu le diagnostic de status après fracture du genou fauche opérée en 2021 (plateau tibial externe) et une reprise d'une activité professionnelle sédentaire, permettant des déplacements de courte durée et des changements de position, correspondant aux limitations fonctionnelles suivantes : pas de port de charges importantes de plus de 10 kg sur des déplacements courts, les marches importantes ainsi que l'utilisation d'échelles et d'escaliers devant être évitées. En respectant ces limitations, la reprise d'une activité sédentaire était possible dès le mois de septembre 2023 à 100% et sans diminution de rendement. Le Dr R______, expert orthopédique mandaté par l'OAI, a quant à lui retenu que la recourante pouvait exercer une activité adaptée aux limitations fonctionnelles suivantes : activité essentiellement sédentaire, avec alternance des positions assise et debout à la guise de la recourante, sans port de charges, sans marche en terrain irrégulier et sans devoir monter ou descendre des pentes ou des escaliers de manière répétée. De courts déplacements à plat étaient possibles. L'activité habituelle qui se déroulait essentiellement en position assise, sans port de charges et avec de courts déplacements à plat pouvait être adaptée aux limitations fonctionnelles susvisées. Une diminution de la capacité de travail 50% lui paraissait toutefois justifiée, probablement depuis septembre 2023, en raison de la symptomatologie persistante et des changements de position nécessaires (cf. rapport d'expertise du Dr R______ du 5 août 2024, p. 12). S'agissant de l'avis du Dr Q______, ce spécialiste a retenu, à titre de limitations fonctionnelles, l'impossibilité d'avoir la position assise ou debout prolongée, sans que la durée précise ne puisse être définie dès lors qu'elle dépendait probablement du moment</w:t>
      </w:r>
    </w:p>
    <w:p>
      <w:r>
        <w:t>A/2203/2024 - 17/20 - de la journée, du nombre de pauses possibles et de l'intensité de la douleur. Étaient également impossibles les flexions répétées de genou (par exemple, l'utilisation d'échelles ou d'escaliers), la position accroupie ou demi-accroupie, ainsi que le port de charges lourdes (à partir de 10 kg) (cf. rapports du Dr Q______ du 28 juillet 2023 et du 2 janvier 2024). Ce médecin traitant a cependant indiqué qu'il lui était impossible de déterminer un taux de capacité résiduelle de travail ou un éventuel rendement attendu, relevant néanmoins qu'une capacité de travail de 100% ne lui paraissait « pas imaginable » (cf. rapport du Dr Q______ du 2 janvier 2024). Quant à la question de savoir si l'activité habituelle de comptable/responsable du contentieux était compatible avec les limitations fonctionnelles identifiées, il a répondu par la négative au motif que, si une activité en position assise avec la possibilité de se lever fréquemment lui semblait, en théorie, possible, celle-ci n'était pas réaliste dès lors que la recourante ressentait le besoin constant de se lever en raison de la douleur (trois à quatre fois sur une période de 30 minutes) (cf. rapport du Dr Q______ du 19 février 2024). Invité à se déterminer sur le rapport du Dr R______ susvisé, le Dr L______ a indiqué, dans son appréciation médicale du 7 janvier 2025, qu'une incapacité de travail de 50% n'était pas justifiée dès lors que, selon le descriptif de la place de travail auprès du dernier employeur, daté du 31 mai 2021, son activité habituelle était déployée en position assise, sans port de charge et avec de courts déplacements. La chambre de céans relève cependant qu'il ressort du descriptif du poste de travail auquel s'est référé le Dr L______ que l'activité habituelle de comptable à temps complet était une activité sédentaire (utilisation bureautique, téléphone, fax et courriels), mais que l'intéressée officiait également en qualité de responsable de l'économat, ce qui impliquait la manutention de charges pouvant peser 10 kg et des déplacements au sein de l'entreprise. La recourante était en outre chargée de l'organisation d'événements pour le compte de son employeur (cf. compte rendu de l'entretien entre un collaborateur de l'intimée et la recourante du 31 mai 2021, p. 1 et 2). Par ailleurs, à teneur de la description du poste de travail par l'ancien employeur, l'activité habituelle était une activité de bureau à 100%, dont 75% du temps s'effectuait en position assise (travail à l'ordinateur) et 25% en position debout (cf. descriptif de la place de travail par l'employeur du 6 juillet 2023). Il apparaît ainsi que l'activité habituelle de comptable, pour laquelle il était nécessaire de se tenir debout pendant une partie importante de la journée de travail (25%), ainsi que le port de charges pour les tâches liées à la gestion de l'économat de l'entreprise, ne correspond pas à une activité adaptée aux limitations fonctionnelles retenues par les Drs L______, R______ et Q______. Par ailleurs, en soutenant que la douleur chronique n'était pas susceptible de diminuer la capacité de travail à un taux de 50% et qu'il s'agissait d'une impression subjective de la part de la recourante (cf. avis du Dr L______ du 7 janvier 2025), le Dr L______ n'écarte pas de manière suffisamment motivée</w:t>
      </w:r>
    </w:p>
    <w:p>
      <w:r>
        <w:t>A/2203/2024 - 18/20 - la baisse de 50% retenue par le Dr R______ en raison de la symptomatologie persistante et des changements de position nécessaires dus à celle-ci. Les conclusions du Dr R______ sont par ailleurs corroborées par l'analyse du Dr Q______ qui, sans déterminer un taux de capacité de travail spécifique, a tout de même contesté, dans son principe, la capacité de travail entière dans une activité adaptée au vu de l'impossibilité, pour la recourante, d'avoir la position assise ou debout pendant une période prolongée, en précisant à cet égard qu'en tenant compte d'une capacité diminuée, une activité en position assise avec la possibilité de se lever fréquemment lui semblait théoriquement possible, mais pas réaliste au motif que l'intéressée ressentait le besoin constant de se lever en raison de la douleur. Le Dr Q______ a d'ailleurs indiqué avoir lui-même constaté, en consultation, que la recourante s'était levée trois à quatre fois sur une période de trente minutes (cf. rapport du Dr Q______ du 19 février 2024). Ce besoin fréquent de changer de position a, au demeurant, également été constaté par la Dre M______ qui a relevé, chez la recourante, la nécessité de se lever et de bouger 30 fois par heure pour soulager les douleurs déclenchées par l'immobilisation de son genou (cf. rapport de la Dre M______ du 24 septembre 2024). S'agissant d'une éventuelle baisse de rendement dans l'activité habituelle, le Dr L______ a admis qu'une éventuelle « modification du rendement » pouvait certes être envisagée, mais celle-ci ne pouvait pas, en l'état, être évaluée dès lors que la recourante ne travaillait pas. La chambre de céans relève que ni le Dr R______, ni le Dr Q______ ne se sont prononcés sur la question d'une éventuelle baisse de rendement dans l'activité habituelle ou dans une activité adaptée. Au vu des éléments qui précèdent, il apparaît que le Dr L______ n'a pas écarté de façon convaincante les avis médicaux divergents, que ses conclusions se fondent sur une description tronquée du dernier poste de travail occupé par la recourante et qu'il a, en fin de compte, admis qu'une diminution du rendement dans l'activité habituelle était possible, sans toutefois la déterminer. Dans ces circonstances, il sera retenu que l'appréciation du cas par le Dr L______ ne permet pas d'établir clairement la capacité de travail de la recourante, en particulier de savoir si celle- ci est véritablement donnée dans l'activité habituelle de comptable/responsable du contentieux. Or, pour se voir conférer pleine valeur probante, l'appréciation de la situation médicale doit être claire et les conclusions des experts dûment motivées (ATF 125 V 352 consid. 3a). Par conséquent, l'intimée ne pouvait pas valablement se fonder sur l'avis de son médecin d'arrondissement et écarter les autres rapports versés au dossier, en particulier ceux rendus par deux spécialistes en chirurgie orthopédique (Drs R______ et Q______), sans un examen approfondi. Conformément à la jurisprudence fédérale, dès lors que la décision litigieuse s'appuie exclusivement sur l'appréciation du médecin de l'assurance et que les avis du Dr R______ et du Dr Q______ laissent subsister des doutes suffisants quant à la fiabilité et la pertinence de cette appréciation, la cause ne saurait être tranchée</w:t>
      </w:r>
    </w:p>
    <w:p>
      <w:r>
        <w:t>A/2203/2024 - 19/20 - en se fondant sur l'un ou sur l'autre de ces avis (ATF 135 V 465). L'intimée n'ayant pas suffisamment instruit la question de la capacité de travail de la recourante dans l'activité habituelle, il se justifie de lui renvoyer la cause afin qu'elle mette en œuvre une expertise orthopédique par un médecin indépendant selon la procédure de l'art. 44 LPGA et toute autre mesure nécessaire de façon à pouvoir déterminer à satisfaction de droit les limitations fonctionnelles et la capacité de travail médico-théorique de la recourante, au regard des conclusions de son médecin d’arrondissement mais également de celles des Drs R______ et Q______.</w:t>
      </w:r>
    </w:p>
    <w:p>
      <w:r>
        <w:rPr>
          <w:b/>
        </w:rPr>
        <w:t>E. 6.4</w:t>
      </w:r>
    </w:p>
    <w:p>
      <w:r>
        <w:t>Au surplus, la chambre de céans rappellera que l'intimée a déjà reconnu à la recourante le droit à une IPAI de 30% correspondant à un montant de CHF 44'460.- par décision du 6 décembre 2023. Il ne ressort pas du dossier que cette décision aurait été contestée par la recourante et cette dernière n'a pris aucune conclusion y relative, de sorte que la chambre de céans n'a pas à se prononcer à ce sujet.</w:t>
      </w:r>
    </w:p>
    <w:p>
      <w:r>
        <w:rPr>
          <w:b/>
        </w:rPr>
        <w:t>E. 7</w:t>
      </w:r>
    </w:p>
    <w:p>
      <w:r>
        <w:t>Au vu de ce qui précède, le recours sera partiellement admis, la décision sur opposition litigieuse annulée et la cause renvoyée à l'intimée pour instruction complémentaire, puis nouvelle décision, au sens des considérants.</w:t>
      </w:r>
    </w:p>
    <w:p>
      <w:r>
        <w:rPr>
          <w:b/>
        </w:rPr>
        <w:t>E. 8.1</w:t>
      </w:r>
    </w:p>
    <w:p>
      <w:r>
        <w:t>La recourante obtenant partiellement gain de cause et étant assistée d'un avocat, une indemnité de CHF 2'500.- lui sera accordée à titre de participation à ses frais et dépens (art. 61 let. g LPA ; art. 6 du règlement sur les frais, émoluments et indemnités en matière administrative du 30 juillet 1986 [RFPA - E 5 10.03]).</w:t>
      </w:r>
    </w:p>
    <w:p>
      <w:r>
        <w:rPr>
          <w:b/>
        </w:rPr>
        <w:t>E. 8.2</w:t>
      </w:r>
    </w:p>
    <w:p>
      <w:r>
        <w:t>Pour le surplus, en l’absence de loi spéciale prévoyant des frais judiciaires, la procédure est gratuite (art. 61 let. fbis LPGA en lien avec l’art. 1 al. 1 LAA).</w:t>
      </w:r>
    </w:p>
    <w:p>
      <w:r>
        <w:t>A/2203/2024 - 20/20 -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