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ATAS/151/2020 vom 20. Februar 2020</w:t>
      </w:r>
    </w:p>
    <w:p>
      <w:r>
        <w:t>GE Cour de justice, 2020-02-20, FR</w:t>
      </w:r>
    </w:p>
    <w:p>
      <w:r>
        <w:rPr>
          <w:b/>
        </w:rPr>
        <w:t xml:space="preserve">Quelle: </w:t>
      </w:r>
      <w:r>
        <w:t>https://mcp.opencaselaw.ch/entscheid/ge_gerichte_ATAS_151_2020</w:t>
      </w:r>
    </w:p>
    <w:p>
      <w:r>
        <w:t>FR: GE_GERICHTE ATAS/151/2020 du 20 février 2020</w:t>
      </w:r>
    </w:p>
    <w:p>
      <w:r>
        <w:t>IT: GE_GERICHTE ATAS/151/2020 del 20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en vertu des art. 56 ss LPGA.</w:t>
      </w:r>
    </w:p>
    <w:p>
      <w:r>
        <w:t>_____________________________________________________________________________________</w:t>
      </w:r>
    </w:p>
    <w:p>
      <w:r>
        <w:t>A/2723/2018 - 6/10 -</w:t>
      </w:r>
    </w:p>
    <w:p>
      <w:r>
        <w:rPr>
          <w:b/>
        </w:rPr>
        <w:t>E. 4</w:t>
      </w:r>
    </w:p>
    <w:p>
      <w:r>
        <w:t>Le litige porte sur la question de savoir si l’état de santé de l’assuré s’est dégradé, depuis la décision initiale du 3 décembre 2008, au point de lui ouvrir droit à des prestations de l’assurance-invalidité.</w:t>
      </w:r>
    </w:p>
    <w:p>
      <w:r>
        <w:rPr>
          <w:b/>
        </w:rPr>
        <w:t>E. 5</w:t>
      </w:r>
    </w:p>
    <w:p>
      <w:r>
        <w:t>a. 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t>_____________________________________________________________________________________</w:t>
      </w:r>
    </w:p>
    <w:p>
      <w:r>
        <w:t>A/2723/2018 - 7/10 -</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 ATF 127</w:t>
      </w:r>
    </w:p>
    <w:p>
      <w:r>
        <w:t>_____________________________________________________________________________________</w:t>
      </w:r>
    </w:p>
    <w:p>
      <w:r>
        <w:t>A/2723/2018 - 8/10 -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w:t>
      </w:r>
    </w:p>
    <w:p>
      <w:r>
        <w:t>_____________________________________________________________________________________</w:t>
      </w:r>
    </w:p>
    <w:p>
      <w:r>
        <w:t>A/2723/2018 - 9/10 -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En l’espèce, il convient de vérifier si une aggravation de l’état de santé de l’assuré est intervenue entre 2008 et juin 2018. Force est de constater que tel n’est manifestement pas le cas. En effet, aucun médecin n’allègue que la situation se serait dégradée sur le plan somatique. Dans son rapport du 15 janvier 2018, le docteur D______, médecin traitant, s’est contenté de mentionner que son patient était suivi sur le plan psychiatrique par le Dr B______. Aucun document médical n’a été versé au dossier qui indiquerait qu’une atteinte somatique nouvelle s’est présentée. Sur le plan psychiatrique, le Dr B______ a fait état d’incapacités de travail dont la durée n’a pas atteint une année (entre le 20 octobre 2017 et le 24 avril 2018) et qui ne sauraient donc être considérées comme durables. Certes, le Dr B______ a précisé que la pleine capacité de travail retenue à compter d’avril 2020 devait être comprise dans une activité adaptée aux limitations physiques. Or, comme déjà dit, rien n’indique que celles-ci ont évolué depuis la décision rendue en 2008 et, à l’époque déjà, il avait été jugé qu’elles n’empêchaient pas l’assuré de reprendre son activité habituelle. Quant aux limitations psychiques évoquées, elles sont qualifiées par le psychiatre lui-même de « modérées », étant précisé que les conditions permettant de leur reconnaître un impact sur la capacité de travail ne sont - de l’avis du psychiatre - pas remplies. Dans ces conditions, c’est donc à juste titre que l’intimé a considéré qu’il n’y avait pas aggravation durable de l’état de santé du recourant et lui a nié le droit à toute prestation. Eu égard aux considérations qui précèdent, le recours est rejeté.</w:t>
      </w:r>
    </w:p>
    <w:p>
      <w:r>
        <w:t>_____________________________________________________________________________________</w:t>
      </w:r>
    </w:p>
    <w:p>
      <w:r>
        <w:t>A/2723/2018 - 10/10 -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