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ATAS/1519/2009 vom 27. Februar 2008</w:t>
      </w:r>
    </w:p>
    <w:p>
      <w:r>
        <w:t>GE Cour de justice, 2008-02-27, FR</w:t>
      </w:r>
    </w:p>
    <w:p>
      <w:r>
        <w:rPr>
          <w:b/>
        </w:rPr>
        <w:t xml:space="preserve">Quelle: </w:t>
      </w:r>
      <w:r>
        <w:t>https://mcp.opencaselaw.ch/entscheid/ge_gerichte_ATAS_1519_2009</w:t>
      </w:r>
    </w:p>
    <w:p>
      <w:r>
        <w:t>FR: GE_GERICHTE ATAS/1519/2009 du 27 février 2008</w:t>
      </w:r>
    </w:p>
    <w:p>
      <w:r>
        <w:t>IT: GE_GERICHTE ATAS/1519/2009 del 27 febbraio 2008</w:t>
      </w:r>
    </w:p>
    <w:p>
      <w:pPr>
        <w:pStyle w:val="Heading2"/>
      </w:pPr>
      <w:r>
        <w:t>Erwägungen</w:t>
      </w:r>
    </w:p>
    <w:p>
      <w:r>
        <w:rPr>
          <w:b/>
        </w:rPr>
        <w:t>E. 1</w:t>
      </w:r>
    </w:p>
    <w:p>
      <w:r>
        <w:t>Conformément à l'art. 56V al. 1 let. a ch. 2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donc établie.</w:t>
      </w:r>
    </w:p>
    <w:p>
      <w:r>
        <w:rPr>
          <w:b/>
        </w:rPr>
        <w:t>E. 2</w:t>
      </w:r>
    </w:p>
    <w:p>
      <w:r>
        <w:t>Interjeté dans les forme et délai légaux (art. 56 à 60 LPGA), le recours est recevable.</w:t>
      </w:r>
    </w:p>
    <w:p>
      <w:r>
        <w:rPr>
          <w:b/>
        </w:rPr>
        <w:t>E. 3</w:t>
      </w:r>
    </w:p>
    <w:p>
      <w:r>
        <w:t>Est litigieuse en l’espèce la question de savoir si les atteintes à la santé de la recourante entraînent une perte de gain susceptible de lui ouvrir droit à des prestations de l’assurance-invalidité.</w:t>
      </w:r>
    </w:p>
    <w:p>
      <w:r>
        <w:rPr>
          <w:b/>
        </w:rPr>
        <w:t>E. 4</w:t>
      </w:r>
    </w:p>
    <w:p>
      <w:r>
        <w:t>L’autorité administrative doit constater d’office les faits déterminants, c’est-à-dire toutes les circonstances dont dépend l’application des règles de droit (ATF 117 V 261 consid. 3 p. 263; T. LOCHER, Grundriss des Sozialversicherungsrecht, Bern 1994, t. 1, p. 438). Ainsi, l’administration est tenue d’ordonner une instruction complémentaire lorsque les allégations des parties et les éléments ressortant du dossier requièrent une telle mesure, et qu’en particulier, elle doit mettre en œuvre</w:t>
      </w:r>
    </w:p>
    <w:p>
      <w:r>
        <w:t>A/1007/2008 - 8/9 -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5</w:t>
      </w:r>
    </w:p>
    <w:p>
      <w:r>
        <w:t>En l'espèce, le Dr G_________, du SMR, tout comme la recourante, ont reconnu que des investigations supplémentaires sont nécessaires pour déterminer, notamment, quelle a été l’évolution de la capacité de travail de l’assurée dans le temps, quelles ont été ou sont ses limites fonctionnelles, quelles sont les conséquences sur la capacité de gain, quelles ont été les périodes d’hospitalisation et les périodes de convalescence. Dans cette perspective, une expertise pluridisciplinaire doit être envisagée, qui devra notamment comporter, ainsi que le suggère la recourante, un volet neuropsychologique. Il conviendra par ailleurs de mettre sur pied un concilium entre les différents spécialistes consultés afin de se livrer à une synthèse concertée. Le Tribunal de céans constate tout comme la recourante qu’un important laps de temps qui s’est écoulé depuis le dépôt de la demande de prestations. Il n’en demeure pas moins qu’en l’occurrence, au vu de l’importance des investigations complémentaires à mettre sur pied et de la pluralité des spécialistes qui devront être consultés, il est préférable de renvoyer le dossier à l’intimé, mieux à même de coordonner les investigations, étant souligné qu’il fera son possible pour qu’une décision soit rendue dans les meilleurs délais. Il y a encore lieu de préciser que l’expertise sera de préférence confiée à des médecins indépendants.</w:t>
      </w:r>
    </w:p>
    <w:p>
      <w:r>
        <w:rPr>
          <w:b/>
        </w:rPr>
        <w:t>E. 6</w:t>
      </w:r>
    </w:p>
    <w:p>
      <w:r>
        <w:t>Le recourant qui obtient gain de cause a droit au remboursement de ses frais et dépens ainsi que de ceux de son mandataire. Tel est le cas en l’espèce, dès lors que l’instruction du dossier nécessitait d’être complétée.</w:t>
      </w:r>
    </w:p>
    <w:p>
      <w:r>
        <w:t>A/1007/2008 - 9/9 -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