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ATAS/1513/2008 vom 19. Dezember 2008</w:t>
      </w:r>
    </w:p>
    <w:p>
      <w:r>
        <w:t>GE Cour de justice, 2008-12-19, FR</w:t>
      </w:r>
    </w:p>
    <w:p>
      <w:r>
        <w:rPr>
          <w:b/>
        </w:rPr>
        <w:t xml:space="preserve">Quelle: </w:t>
      </w:r>
      <w:r>
        <w:t>https://mcp.opencaselaw.ch/entscheid/ge_gerichte_ATAS_1513_2008</w:t>
      </w:r>
    </w:p>
    <w:p>
      <w:r>
        <w:t>FR: GE_GERICHTE ATAS/1513/2008 du 19 décembre 2008</w:t>
      </w:r>
    </w:p>
    <w:p>
      <w:r>
        <w:t>IT: GE_GERICHTE ATAS/1513/2008 del 19 dicembre 2008</w:t>
      </w:r>
    </w:p>
    <w:p>
      <w:pPr>
        <w:pStyle w:val="Heading2"/>
      </w:pPr>
      <w:r>
        <w:t>Erwägungen</w:t>
      </w:r>
    </w:p>
    <w:p>
      <w:r>
        <w:rPr>
          <w:b/>
        </w:rPr>
        <w:t>E. 1</w:t>
      </w:r>
    </w:p>
    <w:p>
      <w:r>
        <w:t>Les questions de la compétence du Tribunal de céans et de la recevabilité du recours ont été examinées dans l’ordonnance d’expertise du 8 mai 2008, de sorte qu’il n’y a pas de motif de revenir sur ces points.</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24 mai 2007, est postérieure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Le litige porte sur la question de savoir si c’est à juste titre que l’intimé a réduit la rente entière servie à la recourante depuis le 1er janvier 2003 à une demi-rente (taux de 50 %) dès le 1er février 2004, puis l'a supprimée totalement en date du 1er août 2004.</w:t>
      </w:r>
    </w:p>
    <w:p>
      <w:r>
        <w:rPr>
          <w:b/>
        </w:rPr>
        <w:t>E. 4</w:t>
      </w:r>
    </w:p>
    <w:p>
      <w:r>
        <w:t>a) 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w:t>
      </w:r>
    </w:p>
    <w:p>
      <w:r>
        <w:t>A/2550/2007 - 14/19 -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c)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w:t>
      </w:r>
    </w:p>
    <w:p>
      <w:r>
        <w:t>A/2550/2007 - 15/19 -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5</w:t>
      </w:r>
    </w:p>
    <w:p>
      <w:r>
        <w:t>a) En l'espèce, sans remettre en cause les diverses atteintes à la santé physique reconnues dont souffre la recourante, il est constant que les troubles de santé principaux qu’elle présente sont d'ordre psychiatrique : l'ensemble des médecins qui se sont prononcés sur son cas ont pu constater qu’elle présente un trouble de l’adaptation, un trouble de la personnalité, ainsi qu’un trouble du comportement alimentaire. b) Parmi les atteintes à la santé psychique, qui peuvent, comme les atteintes physiques, provoquer une invalidité au sens de l'art. 4 al. 1 LAI en liaison avec l'art.</w:t>
      </w:r>
    </w:p>
    <w:p>
      <w:r>
        <w:rPr>
          <w:b/>
        </w:rPr>
        <w:t>E. 8</w:t>
      </w:r>
    </w:p>
    <w:p>
      <w:r>
        <w:t>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c) Suite au complément d’instruction diligenté par le Tribunal de céans, le dossier de la recourante recèle désormais trois expertises psychiatriques. La première émane du docteur M_________ et doit être écartée. En effet, les conclusions de ce praticien, en particulier la négation du trouble de la personnalité, ont été sérieusement mises en cause par l’ensemble des autres médecins qui se sont prononcés sur l’état de santé psychique de la recourante. Le seul avis similaire du docteur L_________ est non seulement trop ancien et sommaire pour pouvoir fonder la conviction du Tribunal, mais il ne se rapporte en outre qu’au trouble de</w:t>
      </w:r>
    </w:p>
    <w:p>
      <w:r>
        <w:t>A/2550/2007 - 16/19 - l’adaptation avec réaction dépressive dont la négation de l’amendement par la recourante semble, au degré de vraisemblance prépondérante, être la conséquence d’un autre trouble psychique (le trouble de la personnalité), ainsi que d’une fluctuation de son intensité. Le second examen spécialisé a été effectué par le docteur U_________ du SMR. Pour les raisons exposées dans l’ordonnance d’expertise du 8 mai 2008, les conclusions de cette dernière ne peuvent être retenues. En effet, la détermination de la capacité de travail résiduelle ne saurait être fondée, d’un point de vue médical, sur une moyenne arithmétique des périodes d’activité et d’inactivité avant la survenance de l’invalidité. D’autre part, le docteur W_________ expose de façon circonstanciée pour quels motifs il n’est point possible de procéder selon la méthode utilisée par le docteur U_________. En réalité, cette dernière consiste à nier la décompensation psychique présentée par la recourante suite à son licenciement au début de l’année 2002. Le processus de développement pathologique du trouble de la personnalité est bien décrit dans le rapport du docteur W_________, auquel il y a lieu de se référer. Si les deux spécialistes partagent l’avis selon lequel le trouble de la personnalité dont est atteinte la recourante est grave et constitue une maladie au sens de l’art. 4 LAI, l’évolution et les conséquences dudit trouble sont bien mieux documentées et explicitées dans l’expertise W_________ dont on ne voit pas de motif de s’écarter. Les considérations de la doctoresse A_________, qui semble s’offusquer du fait que l’expert judiciaire ose émettre un avis critique sur les conclusions et la méthode utilisée par son confrère U_________ sont hors de propos; il s’agit en fait là du rôle même de l’expert, ce d’autant plus que c'est à la demande de la doctoresse A_________ elle-même que le Tribunal a requis du docteur W_________ qu’il expose les motifs le conduisant, cas échéant, à s’écarter des conclusions du psychiatre du SMR. Contrairement à l'avis de la doctoresse A_________ - qui, au demeurant, sort du cadre de son mandat médical en se prononçant par deux fois dans le dossier sur la valeur probante à accorder à des documents médicaux -, il convient de considérer que le rapport d’expertise rendu par le docteur W_________ remplit à l’évidence les critères fixés par la jurisprudence (cf. ATF 125 V 351 consid. 3a, 122 V 157 consid. 1c et les références; ATF non publié du 23 juin 2008, 9C_773/2007, consid. 2.1). En effet, les points litigieux ont fait l'objet d'une étude circonstanciée et, contrairement à ce que soutient l’intimé, les raisons des divergences d’appréciation entre l’expert et le docteur U_________ ont été clairement et longuement exposées par le premier (cf. p. 17 du rapport d’expertise). Ledit rapport se fonde sur quatre entretiens de 90 minutes chacun, un examen neuropsychologique mené par des spécialistes, la passation de tests psychologiques ainsi que la lecture du dossier et une prise de contact avec le médecin traitant. Les plaintes exprimées par la personne examinée ont été prises en compte sans pour autant être la base exclusive des conclusions du médecin. Celui-ci a démontré, dans la rédaction de son expertise, une parfaite connaissance de l'anamnèse de la recourante, de même qu’il</w:t>
      </w:r>
    </w:p>
    <w:p>
      <w:r>
        <w:t>A/2550/2007 - 17/19 - a décrit le contexte médical de façon explicite. Enfin, l'appréciation de la situation médicale est claire et les conclusions de l'expert soient dûment motivées, de telle sorte que la Juridiction de céans se fondera sur ses conclusions, sans qu’il soit nécessaire de procéder à un complément d’expertise tel que requis par l’intimé : l’exposé du docteur W_________ est suffisamment complet et les remarques formulées par le médecin du SMR (à l’origine de la requête en complément d’instruction) dépourvues de pertinence. 6. a) Selon le Dr W_________, il apparaît que la recourante dispose, d’un point de vue psychiatrique, d’une capacité de travail résiduelle de 50 %, diminuée de 25 à 30 % en raison d’une baisse de rendement, dans une activité de type employée de bureau (domaine professionnel habituel) se déroulant au calme, dépourvue de stress, sans exigences marquées en matière de rapidité, de précision et de rendement. Il convient d’ajouter à ce descriptif de l’activité adaptée les limitations reconnues et non remises en cause sur le plan physique, à savoir le fait de devoir éviter le port de charges lourdes (max. 10 kg), les travaux pénibles de manutention, les positions statiques prolongées, les mouvements de contrainte répétitifs au niveau du rachis, la position accroupie ou à genoux, les déplacements sur sol irrégulier et, enfin, le travail en hauteur ou sur une échelle. b) Le docteur W_________ a insisté sur le caractère théorique de la capacité de travail résiduelle retenue, compte tenu du fait que seuls des emplois (certes dans le même domaine d’activité) moins gratifiants peuvent entrer en ligne de compte au vu des limitations et qu'une telle rétrogradation sur le plan professionnel ne manquera pas d’être ressenti comme blessant par l’intéressée (dont le fonctionnement est perturbé d’un point du vue narcissique; cf. p. 14 expertise W_________), ce qui risque d’engendrer une aggravation de l’état de santé tant sur le plan de la dépression que sur celui du trouble de la personnalité (exacerbation des traits pathologiques). En pareilles circonstances - étant rappelé qu’une réadaptation professionnelle est déconseillée, que la recourante est également limitée d’un point de vue physique, que son état de santé ne peut être amélioré par des mesures médicales et que le pronostic est défavorable -, il y a lieu de considérer que l’intéressée ne peut continuer à exercer une activité professionnelle, même aménagée, qu’au risque d’une aggravation de son état de santé, ce qui ne saurait être exigé d’elle (cf. ATF 130 V 343 consid. 3.1. et arrêt du Tribunal fédéral du 6 octobre 2008, 9C_31/2008, consid. 3.4). Au demeurant, on relèvera avec la doctoresse A_________ - qui s’abstient cependant d'en tirer une conclusion -, que l’activité adaptée théoriquement exigible décrite par l’expert n’existe vraisemblablement pas ou ne correspond qu’à un emploi de type protégé.</w:t>
      </w:r>
    </w:p>
    <w:p>
      <w:r>
        <w:t>A/2550/2007 - 18/19 - Au vu de ce qui précède, le Tribunal de céans estime la recourante totalement incapable de mettre à profit une quelconque capacité de travail depuis le 14 janvier 2002 (début du délai de carence au sens de l’art. 29 al. 1 let. b LAI dans sa teneur en vigueur jusqu’au 31 décembre 2007) et pour une durée indéterminée. Il en découle un taux d’invalidité de 100 % et, dès lors, le droit à une rente d’invalidité entière non limitée dans le temps. 7. L’intimé, qui succombe, supportera les frais de justice fixés à 1'000 fr. et versera à la recourante la somme de 4’000 fr. à titre de participation à ses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