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ATAS/150/2026 vom 5. Februar 2026</w:t>
      </w:r>
    </w:p>
    <w:p>
      <w:r>
        <w:t>GE Cour de justice, 2026-02-05, FR</w:t>
      </w:r>
    </w:p>
    <w:p>
      <w:r>
        <w:rPr>
          <w:b/>
        </w:rPr>
        <w:t xml:space="preserve">Quelle: </w:t>
      </w:r>
      <w:r>
        <w:t>https://mcp.opencaselaw.ch/entscheid/ge_gerichte_ATAS_150_2026</w:t>
      </w:r>
    </w:p>
    <w:p>
      <w:r>
        <w:t>FR: GE_GERICHTE ATAS/150/2026 du 5 février 2026</w:t>
      </w:r>
    </w:p>
    <w:p>
      <w:r>
        <w:t>IT: GE_GERICHTE ATAS/150/2026 del 5 febbraio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Le délai de recours est de 30 jours (art. 60 al. 1 LPGA ; art. 43 LPCC ; art. 62 al. 1 let. a de la loi sur la procédure administrative du 12 septembre 1985 [LPA- GE - E 5 10] et art. 43 LPCC). Interjeté dans la forme et le délai prévus par la loi, le recours est recevable (art. 56ss LPGA et 62ss LPA).</w:t>
      </w:r>
    </w:p>
    <w:p>
      <w:r>
        <w:rPr>
          <w:b/>
        </w:rPr>
        <w:t>E. 2</w:t>
      </w:r>
    </w:p>
    <w:p>
      <w:r>
        <w:t>Le litige porte sur le bien-fondé de la décision de l’intimé de nier à la recourante le droit aux prestations complémentaires pour la période débutant le 1er décembre 2024, au motif que sa fortune dépassait le seuil prévu par la loi et de lui réclamer la restitution des prestations versées du 1er décembre 2024 au 30 juin 2025.</w:t>
      </w:r>
    </w:p>
    <w:p>
      <w:r>
        <w:rPr>
          <w:b/>
        </w:rPr>
        <w:t>E. 3.1</w:t>
      </w:r>
    </w:p>
    <w:p>
      <w:r>
        <w:t>La modification du 22 mars 2019 de la LPC est entrée en vigueur le 1er janvier 2021 (Réforme des PC, FF 2016 7249 ; RO 2020 585).</w:t>
      </w:r>
    </w:p>
    <w:p>
      <w:r>
        <w:t>A/2516/2025 - 6/12 - Conformément à l’al. 1 des dispositions transitoires de ladite modification, l’ancien droit reste applicable trois ans à compter de l’entrée en vigueur de la modification aux bénéficiaires de prestations complémentaires pour lesquels la réforme des PC entraîne, dans son ensemble, une diminution de la prestation complémentaire annuelle ou la perte du droit à la prestation complémentaire annuelle.</w:t>
      </w:r>
    </w:p>
    <w:p>
      <w:r>
        <w:rPr>
          <w:b/>
        </w:rPr>
        <w:t>E. 3.2</w:t>
      </w:r>
    </w:p>
    <w:p>
      <w:r>
        <w:t>En l’occurrence, le litige porte sur la période débutant le 1er décembre 2024, soit plus de trois ans après l’entrée en vigueur du nouveau droit. Dès lors, ce sont les nouvelles dispositions qui s’appliquent.</w:t>
      </w:r>
    </w:p>
    <w:p>
      <w:r>
        <w:rPr>
          <w:b/>
        </w:rPr>
        <w:t>E. 4</w:t>
      </w:r>
    </w:p>
    <w:p>
      <w:r>
        <w:t>L’al. 3 s’applique aux bénéficiaires d’une rente de vieillesse de l’AVS également pour les dix années qui précèdent la naissance du droit à la rente. Selon l'al. 3 des dispositions transitoires de la modification du 22 mars 2019, l'art. 11a al. 3 et 4 LPC ne s'applique qu'à la fortune qui a été dépensée après l'entrée en vigueur de la modification (arrêt du Tribunal fédéral 9C_329/2023 du 21 août 2023 consid. 4.2). L'art. 11a al. 2 nLPC contient une définition claire de la notion de dessaisissement qui faisait défaut dans le cadre de l'art. 11 al. 1 let. g aLPC, sans modifier toutefois la pratique en matière de renonciation à des ressources ou de dessaisissement de fortune (cf. Message du Conseil fédéral relatif à la modification de la loi sur les prestations complémentaires [Réforme des PC] du 16 septembre 2016, FF 2016 7249 pp. 7322 et 7323).</w:t>
      </w:r>
    </w:p>
    <w:p>
      <w:r>
        <w:rPr>
          <w:b/>
        </w:rPr>
        <w:t>E. 4.1.1</w:t>
      </w:r>
    </w:p>
    <w:p>
      <w:r>
        <w:t>Les personnes qui ont leur domicile et leur résidence habituelle en Suisse et qui remplissent les conditions personnelles prévues aux art. 4, 6 et 8 LPC ont droit à des prestations complémentaires. Depuis le 1er janvier 2021, elles doivent en outre remplir les conditions relatives à la fortune nette prévues à l’art. 9a LPC. Selon cette disposition, seules les personnes dont la fortune nette est inférieure aux seuils suivants ont droit à des prestations complémentaires : CHF 100’000.- pour les personnes seules (let. a), CHF 200'000.- pour les couples et CHF 50'000.- pour les enfants ayant droit à une rente d’orphelin ou donnant droit à une rente pour enfant de l’AVS ou de l’AI (al. 1). Les parts de fortune visées à l’art. 11a al. 2 à 4 LPC font partie de la fortune nette au sens de l’al. 1 (al. 3).</w:t>
      </w:r>
    </w:p>
    <w:p>
      <w:r>
        <w:rPr>
          <w:b/>
        </w:rPr>
        <w:t>E. 4.1.2</w:t>
      </w:r>
    </w:p>
    <w:p>
      <w:r>
        <w:t>Conformément à l’art. 4 LPCC, dont la teneur n’a pas été modifiée suite à la réforme, ont droit aux prestations complémentaires cantonales les personnes dont le revenu annuel déterminant n’atteint pas le revenu minimum cantonal d’aide sociale applicable. Dans un arrêt de principe, la Cour de céans a retenu qu’en l’absence d’une révision législative de la LPCC, suite à la réforme de la LPC, les nouveaux seuils d’entrée liés à la fortune prévus à l’art. 9a al. 1 LPC étaient également applicables, depuis le 1er janvier 2021, à l’octroi des prestations complémentaires cantonales, du fait du renvoi général qu'opère la LPCC à la LPC et du silence de la loi cantonale à ce sujet (cf. ATAS/521/2023 du 29 juin 2023).</w:t>
      </w:r>
    </w:p>
    <w:p>
      <w:r>
        <w:rPr>
          <w:b/>
        </w:rPr>
        <w:t>E. 4.2</w:t>
      </w:r>
    </w:p>
    <w:p>
      <w:r>
        <w:t>Jusqu’au 31 décembre 2020, l’art. 11 al. 1 aLPC prévoyait que : Les revenus déterminants comprennent : g. les ressources et parts de fortune dont un ayant droit s’est dessaisi ; Avec la réforme entrée en vigueur le 1er janvier 2021, la lettre g de l’art. 11 al. 1 a été abrogée et un art. 11a a été introduit. Selon cette disposition : 1 Si une personne renonce volontairement à exercer une activité lucrative que l’on pourrait raisonnablement exiger d’elle, le revenu hypothétique correspondant est pris en compte comme revenu déterminant. La prise en compte de ce revenu est réglée par l’art. 11, al. 1, let. a.</w:t>
      </w:r>
    </w:p>
    <w:p>
      <w:r>
        <w:t>A/2516/2025 - 7/12 - 2 Les autres revenus, parts de fortune et droits légaux ou contractuels auxquels l’ayant droit a renoncé sans obligation légale et sans contre-prestation adéquate sont pris en compte dans les revenus déterminants comme s’il n’y avait pas renoncé. 3 Un dessaisissement de fortune est également pris en compte si, à partir de la naissance d’un droit à une rente de survivant de l’AVS ou à une rente de l’AI, plus de 10 % de la fortune est dépensée par année sans qu’un motif important ne le justifie. Si la fortune est inférieure ou égale à 100 000 francs, la limite est de 10 000 francs par année. Le Conseil fédéral règle les modalités ; il définit en particulier la notion de « motif important ».</w:t>
      </w:r>
    </w:p>
    <w:p>
      <w:r>
        <w:rPr>
          <w:b/>
        </w:rPr>
        <w:t>E. 4.3</w:t>
      </w:r>
    </w:p>
    <w:p>
      <w:r>
        <w:t>S’agissant des prestations complémentaires cantonales, l’art. 5 LPCC, dont la teneur est restée inchangée, prévoit que le revenu déterminant est calculé conformément aux règles fixées dans la loi fédérale et ses dispositions d'exécution, moyennant certaines adaptations explicitées aux lettres a à c.</w:t>
      </w:r>
    </w:p>
    <w:p>
      <w:r>
        <w:rPr>
          <w:b/>
        </w:rPr>
        <w:t>E. 5.1</w:t>
      </w:r>
    </w:p>
    <w:p>
      <w:r>
        <w:t>Selon la jurisprudence rendue antérieurement à la Réforme des PC, il y a dessaisissement lorsque la personne concernée a renoncé à des éléments de revenu ou de fortune sans obligation juridique et sans avoir reçu en échange une contre- prestation équivalente, ces deux conditions étant alternatives (ATF 140 V 267 consid. 2.2 et les références ; 134 I 65 consid. 3.2 et les références ; 131 V 329 consid. 4.2 et les références).</w:t>
      </w:r>
    </w:p>
    <w:p>
      <w:r>
        <w:rPr>
          <w:b/>
        </w:rPr>
        <w:t>E. 5.2</w:t>
      </w:r>
    </w:p>
    <w:p>
      <w:r>
        <w:t>Depuis le 1er janvier 2021, la nLPC comporte un art. 11a al. 2, lequel contient une définition claire de la notion de dessaisissement qui faisait défaut dans le cadre de l'art. 11 al. 1 let. g aLPC. Le dessaisissement est en outre précisé à l’art. 17b let. a de l'ordonnance sur les prestations complémentaires à l’assurance-vieillesse, survivants et invalidité du 15 janvier 1971 (OPC-AVS/AI - RS 831.301), entré en vigueur le 1er janvier 2021 également, à teneur duquel il y a dessaisissement de fortune, notamment, lorsqu’une personne aliène des parts de fortune sans obligation légale et que la contre-prestation n’atteint pas au moins 90% de la valeur de la prestation. En cas d’aliénation de parts de fortune, le montant du dessaisissement correspond à la</w:t>
      </w:r>
    </w:p>
    <w:p>
      <w:r>
        <w:t>A/2516/2025 - 8/12 - différence entre la valeur de la prestation et la valeur de la contre-prestation (art. 17c OPC-AVS/AI).</w:t>
      </w:r>
    </w:p>
    <w:p>
      <w:r>
        <w:rPr>
          <w:b/>
        </w:rPr>
        <w:t>E. 6.1</w:t>
      </w:r>
    </w:p>
    <w:p>
      <w:r>
        <w:t>Selon l’art. 17 al. 2 LPGA,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S'agissant des prestations complémentaires fédérales, selon l'art. 25 al. 1 1re phrase LPGA, en relation avec l'art. 2 al. 1 let. a de l'ordonnance sur la partie générale du droit des assurances sociales du</w:t>
      </w:r>
    </w:p>
    <w:p>
      <w:r>
        <w:rPr>
          <w:b/>
        </w:rPr>
        <w:t>E. 6.3</w:t>
      </w:r>
    </w:p>
    <w:p>
      <w:r>
        <w:t>Au plan cantonal, l'art. 24 al. 1 1re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w:t>
      </w:r>
    </w:p>
    <w:p>
      <w:r>
        <w:t>A/2516/2025 - 9/12 -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6.4</w:t>
      </w:r>
    </w:p>
    <w:p>
      <w:r>
        <w:t>Conformément à l’art. 33 de la loi d’application de la loi fédérale sur l’assurance-maladie du 29 mai 1997 (LaLAMal – J 3 05), les subsides indûment touchés doivent être restitués en appliquant par analogie l'article 25 de la loi fédérale sur la partie générale du droit des assurances sociales, du 6 octobre 2000 (al. 1). Lorsque des subsides ont été indûment touchés par un bénéficiaire des prestations du service, ce service peut en demander la restitution au nom et pour le compte du service de l'assurance-maladie (al. 2). 7.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8. En l’espèce, il est établi que la recourante a disposé de l’avoir de prévoyance qui lui a été attribué suite au divorce en le plaçant sur un compte ouvert auprès des RENTES GENEVOISES et qu’elle a opté pour le versement d’une rente différée, se privant ainsi, sans qu’aucune obligation légale ne l’y contraigne, de la disposition d’un capital de CHF 196'057.45 et d’une rente immédiate. Cela constitue sans nul doute un dessaisissement au sens de la loi. C’est dès lors à juste titre que l’intimé a réintégré ce montant dans le calcul des prestations, au titre de</w:t>
      </w:r>
    </w:p>
    <w:p>
      <w:r>
        <w:t>A/2516/2025 - 10/12 - fortune. Cette dernière a ainsi dépassé le seuil légal ouvrant droit aux prestations, de sorte que c’est à juste titre que le droit à celles-ci a été nié et, par voie de conséquence, la restitution des montants versés entre décembre 2024 et juin 2025 exigée. Ainsi que le fait remarquer l’intimé, faire abstraction de l’avoir de libre passage jusqu’à l’obtention de la rente différée reviendrait à faire supporter le financement de la prévoyance professionnelle de la recourante au régime des prestations complémentaires et, donc, à la collectivité, ce qui n’est pas admissible. Reste à examiner les autres griefs invoqués par la recourante, à savoir le fait qu’elle aurait été induite en erreur ou mal informée des conséquences de son choix. 9.</w:t>
      </w:r>
    </w:p>
    <w:p>
      <w:r>
        <w:t>9.1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p. 27; 137 I 69 consid. 2.5.1 p. 73).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a. il faut que l’autorité soit intervenue dans une situation concrète à l’égard de personnes déterminées ; b. qu’elle ait agi ou soit censée avoir agi dans les limites de sa compétence ;</w:t>
      </w:r>
    </w:p>
    <w:p>
      <w:r>
        <w:t>A/2516/2025 - 11/12 - c. que l’administré n’ait pu se rendre compte immédiatement de l’inexactitude du renseignement obtenu ; d. qu’il se soit fondé sur celui-ci pour prendre des dispositions qu’il ne saurait modifier sans subir un préjudice ; e. que la loi n’ait pas changé depuis le moment où le renseignement a été donné (ATF 121 V 66 consid. 2a et les références). 9.2 En l’occurrence, les conditions cumulatives énoncées supra ne sont pas remplies. Comme le fait remarquer l’intimé et comme l’admet d’ailleurs la recourante, cette dernière n’est pas en mesure d’apporter la preuve de ses allégations, selon lesquelles il lui aurait été expressément indiqué que le fait de différer sa rente n’aurait aucune incidence sur son droit aux prestations. Partant, c’est à bon droit que l’intimé a réclamé la restitution des prestations versées à tort entre décembre 2024 et juin 2025. Quant au délai qui s’est écoulé entre le moment où la recourante a transmis le jugement de divorce – février 2024 – et la décision litigieuse du 4 juin 2025, la recourante ne saurait en faire le reproche à l’intimé. En effet, la simple transmission du jugement de divorce, si elle informait certes l’intimé du versement à venir d’un avoir de prévoyance, ne donnait aucune indication quant aux intentions de la recourante à cet égard, en particulier le fait qu’elle opterait pour une rente différée plutôt qu’immédiate. Ce n’est que par son courrier du 25 juin 2025 que la bénéficiaire a informé le SPC des dispositions qu’elle avait prises à ce propos. 9.3 Les considérants qui précèdent conduisent au rejet du recours. La procédure est gratuite.</w:t>
      </w:r>
    </w:p>
    <w:p>
      <w:r>
        <w:t>***</w:t>
      </w:r>
    </w:p>
    <w:p>
      <w:r>
        <w:t>A/2516/2025 - 12/12 - PAR CES MOTIFS, LA CHAMBRE DES ASSURANCES SOCIALES : Statuant À la forme :</w:t>
      </w:r>
    </w:p>
    <w:p>
      <w:r>
        <w:rPr>
          <w:b/>
        </w:rPr>
        <w:t>E. 11</w:t>
      </w:r>
    </w:p>
    <w:p>
      <w:r>
        <w:t>septembre 2002 (OPGA ; RS 830.11), les prestations indûment touchées doivent être restituées par le bénéficiaire ou par ses héritiers.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