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ATAS/150/2020 vom 27. Februar 2020</w:t>
      </w:r>
    </w:p>
    <w:p>
      <w:r>
        <w:t>GE Cour de justice, 2020-02-27, FR</w:t>
      </w:r>
    </w:p>
    <w:p>
      <w:r>
        <w:rPr>
          <w:b/>
        </w:rPr>
        <w:t xml:space="preserve">Quelle: </w:t>
      </w:r>
      <w:r>
        <w:t>https://mcp.opencaselaw.ch/entscheid/ge_gerichte_ATAS_150_2020</w:t>
      </w:r>
    </w:p>
    <w:p>
      <w:r>
        <w:t>FR: GE_GERICHTE ATAS/150/2020 du 27 février 2020</w:t>
      </w:r>
    </w:p>
    <w:p>
      <w:r>
        <w:t>IT: GE_GERICHTE ATAS/150/2020 del 27 febbraio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A/4061/2018 - 15/23 - Sa compétence pour juger du cas d’espèce est ainsi établie.</w:t>
      </w:r>
    </w:p>
    <w:p>
      <w:r>
        <w:rPr>
          <w:b/>
        </w:rPr>
        <w:t>E. 2</w:t>
      </w:r>
    </w:p>
    <w:p>
      <w:r>
        <w:t>Interjeté dans la forme et le délai prévus par la loi, compte tenu du report du terme du délai - échéant un samedi - au premier jour ouvrable suivant, le recours est recevable (art. 38 al. 3, 56 et 60 LPGA ; art. 89B de la loi sur la procédure administrative du 12 septembre 1985 - [LPA-GE - E 5 10]).</w:t>
      </w:r>
    </w:p>
    <w:p>
      <w:r>
        <w:rPr>
          <w:b/>
        </w:rPr>
        <w:t>E. 3</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au vu de la décision attaquée et du recours, le litige porte essentiellement sur le point de savoir si l’intimée était fondée à mettre fin au versement des indemnités journalières avec effet au 31 mai 2018 et à passer, dès cette date, à l’examen du droit à une rente d’invalidité, respectivement à une indemnité pour atteinte à l’intégrité.</w:t>
      </w:r>
    </w:p>
    <w:p>
      <w:r>
        <w:rPr>
          <w:b/>
        </w:rPr>
        <w:t>E. 4</w:t>
      </w:r>
    </w:p>
    <w:p>
      <w:r>
        <w:t>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et adéquate avec l'événement assuré (ATF 125 V 456 consid. 5a et les références; ATF 119 V 335 consid. 1).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w:t>
      </w:r>
    </w:p>
    <w:p>
      <w:r>
        <w:t>A/4061/2018 - 16/23 - l'appréciation des preuves dans l'assurance sociale (ATF 129 V 177 consid. 3.1; ATF 119 V 335 consid. 1; ATF 118 V 286 consid. 1b et les références).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rPr>
          <w:b/>
        </w:rPr>
        <w:t>E. 5</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6</w:t>
      </w:r>
    </w:p>
    <w:p>
      <w:r>
        <w:t>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Aux termes de l'art. 10 al. 1 let. a et b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La limite temporelle de la prise en charge, par l’assureur-accident, du traitement médical ressort de l’art. 19 LAA relatif aux rentes d’invalidité, qui, pour autant que</w:t>
      </w:r>
    </w:p>
    <w:p>
      <w:r>
        <w:t>A/4061/2018 - 17/23 - les conditions soient remplies, prennent le relais des prestations temporaires. À teneur de cette disposition,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(art. 19 al. 1 LAA). La naissance du droit à la rente supprime ainsi le traitement médical au sens de l’art. 10, le moment déterminant étant celui auquel l'état de santé peut être considéré comme relativement stabilisé (ATF 134 V 109 consid. 4.1 ; arrêt du Tribunal fédéral 8C_1023/2008 du 1er décembre 2009 consid. 5.1 ; arrêts du Tribunal fédéral des assurances U.305/03 du 31 août 2004 consid. 4.1 et U.391/00 du 9 mai 2001 consid. 2a), étant précisé que le droit au traitement médical existe aussi longtemps qu'on peut en attendre une amélioration sensible de l'état de santé de l'assuré (ATF 116 V 44 consid. 2c). Le droit au traitement médical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(134 V 109 consid. 4.1 ; ATF 133 V 57 consid. 6.6.2 ; arrêt du Tribunal fédéral 8C_1023/2008 du 1er décembre 2009). Savoir ce que signifie une sensible amélioration de l'état de santé de l'assuré (« namhaften Besserung des Gesundheitszustandes des Versicherten » ; « un sensibile miglioramento della salute dell'assicurato ») au sens de l’art. 19 al. 1 LAA n'est pas précisé par le texte légal. Le concept de l'assurance-accident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 arrêt du Tribunal fédéral des assurances U 244/04 du 20 mai 2005 consid. 3.1). La preuve que la mesure envisagée est de nature à améliorer l’état de santé doit être établie avec une vraisemblance suffisante ; celle-ci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stationnaire (arrêt du Tribunal fédéral des assurances U 244/04 du 20 mai 2005 consid. 3.1 ; arrêt du Tribunal fédéral 8C_179/2014 du 16 mars 2015 consid. 4).</w:t>
      </w:r>
    </w:p>
    <w:p>
      <w:r>
        <w:rPr>
          <w:b/>
        </w:rPr>
        <w:t>E. 7</w:t>
      </w:r>
    </w:p>
    <w:p>
      <w:r>
        <w:t>Si l'assuré est invalide (art. 8 LPGA) à 10 % au moins par suite d'un accident, il a droit à une rente d'invalidité (art. 18 al. 1 LAA). L'art. 8 LPGA précise qu’est réputée invalidité l’incapacité de gain totale ou partielle qui est présumée</w:t>
      </w:r>
    </w:p>
    <w:p>
      <w:r>
        <w:t>A/4061/2018 - 18/23 -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A/4061/2018 - 19/23 -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la décision sur opposition du 17 octobre 2018, fondée sur le rapport d’examen final établi par le Dr D______ en avril 2018, met un terme au versement des indemnités journalières avec effet au 31 mai 2018, « en l’absence d’une nouvelle intervention chirurgicale prévue dans un proche avenir ». Elle retient par ailleurs qu’en dépit de ses séquelles accidentelles, l’assuré est pleinement capable d’occuper à plein temps, sans diminution de rendement, une profession adaptée, excluant le port de charges du côté droit et permettant le port d’une attelle visant à immobiliser le poignet, le cas échéant en utilisant un clavier informatique. Comme le revenu exigible de sa part dans une telle activité est supérieur à celui qu’il aurait perçu sans accident, l’assuré ne subit pas de perte de gain et n’a donc pas droit à une rente d’invalidité. De son côté, le recourant conteste le point de vue selon lequel il disposerait, depuis le 31 mai 2018, d’une pleine capacité de travail dans toute activité adaptée. Il soutient essentiellement que son état de santé n’est pas stabilisé, de sorte que l’intimée est passée trop tôt à l’examen du droit à une rente d’invalidité et à une indemnité pour atteinte à l’intégrité, respectivement qu’elle a mis fin prématurément au versement des indemnités journalières. Il expose que le Dr K______ lui a proposé une nouvelle opération du poignet, à savoir l’installation d’une prothèse totale, laquelle a été fixée au 15 janvier 2019 et était propre à augmenter sa capacité de travail. Contrairement à l’intimée, il estime que cette</w:t>
      </w:r>
    </w:p>
    <w:p>
      <w:r>
        <w:t>A/4061/2018 - 20/23 - nouvelle intervention ne peut être qualifiée de rechute, dans la mesure où elle s’inscrit dans la continuité des traitements qu’il a suivis de manière ininterrompue jusqu’alors, sans guérison. En effet, il a poursuivi son traitement médicamenteux et sa rééducation sensitive auprès de l’ergothérapeute, comme l’a préconisé la Dresse F______. De plus, la Dresse E______ a indiqué, dans ses rapports de mars-avril 2018, qu’il ne pouvait reprendre une activité lucrative. Le recourant conteste également l’affirmation selon laquelle l’opération du 15 janvier 2019 constituerait un « fait nouveau » par rapport à la situation prévalant au 21 juin 2018, respectivement au 17 octobre 2018, date de la décision sur opposition.</w:t>
      </w:r>
    </w:p>
    <w:p>
      <w:r>
        <w:rPr>
          <w:b/>
        </w:rPr>
        <w:t>E. 11</w:t>
      </w:r>
    </w:p>
    <w:p>
      <w:r>
        <w:t>Au regard des griefs soulevés par le recourant, il convient d’examiner si l’intimée était fondée à mettre fin, avec effet au 31 mai 2018, au versement des indemnités journalières et à passer à l’examen du droit à une rente d’invalidité, respectivement à une indemnité pour atteinte à l’intégrité. a. En l’occurrence, il ressort du dossier que le Dr K______ a formellement requis la prise en charge, le 4 décembre 2018, d’une (nouvelle) intervention chirurgicale, consistant à installer une prothèse totale du poignet droit. Dans son courrier adressé à la SUVA, le Dr K______ a indiqué : « […] [l’assuré] a actuellement un poignet qui est raide, beaucoup moins douloureux qu’il le fut, mais avec une force quasi absente malgré ses efforts. Le patient est très motivé pour récupérer une fonction de son poignet. Nous avons envisagé avec lui les diverses possibilités chirurgicales, l’arthrodèse totale, le resurfaçage du capitatum par une prothèse de pyrocarbone ou la prothèse totale de poignet. C’est cette dernière possibilité qui été choisie pour tenter de donner une meilleure mobilité et une force supérieure, qui lui permettrait de reprendre une activité. L’opération pourrait avoir lieu le 15 janvier 2019, sous réserve de votre feu vert pour la prise en charge ». L’intimée a précisé, dans son écriture du 25 avril 2019, qu’elle avait accepté de prendre en charge l’intervention préconisée par le Dr K______. b. Il est vrai que, comme le relève l’intimée, le juge des assurances sociales apprécie la légalité des décisions attaquées, en règle générale, d'après l'état de fait existant au moment où la décision litigieuse a été rendue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La Cour de céans constate que si la date de l’opération fixée par le Dr K______, à savoir le 15 janvier 2019, est effectivement postérieure à la décision sur opposition attaquée, datée du 17 octobre 2018, cette opération était déjà préconisée et discutée par les médecins du recourant antérieurement au prononcé de ladite décision, de sorte que l’on ne saurait en faire abstraction dans le cadre de la présente procédure, d’autant moins que l’on est en présence d’un fait étroitement lié à l’objet du litige et propre à influencer l’appréciation sur la question litigieuse de la stabilisation de</w:t>
      </w:r>
    </w:p>
    <w:p>
      <w:r>
        <w:t>A/4061/2018 - 21/23 - l’état de santé. À ce propos, il convient de rappeler que, dans son rapport du 24 juillet 2018, la Dresse F______ relatait que l’assuré était confronté à deux problèmes : d’une part, des « douleurs sensitives pathologiques » - pour lesquelles elle préconisait la poursuite de la rééducation sensitive et une consultation auprès de spécialistes de la douleur -, d’autre part, une perte de mobilité et de force, associée à des douleurs mécaniques - pour laquelle il s’agissait dans un premier temps de poursuivre la rééducation avec l’ergothérapeute. La Dresse F______ indiquait cependant qu’à terme, dès qu’une récupération aurait été obtenue sur le plan des douleurs sensitives (la précision selon laquelle l’opération n’était pas encore d’actualité en août 2018 doit être comprise en ce sens), le problème de la perte de mobilité et de force, associé aux douleurs mécaniques, pourrait être solutionné par une arthrodèse ou une prothèse du poignet. Se ralliant au point de vue de sa consœur, la Dresse H______, dans son rapport du 16 octobre 2018, exposait en substance que la mobilité du poignet restait déficitaire, qu’elle préconisait une rééducation par un ergothérapeute et que, lorsque les douleurs seraient « stabilisées », une prise en charge chirurgicale pourrait être proposée à l’assuré, sous la forme d’une arthrodèse totale du poignet ou d’une arthroplastie prothétique. Contrairement à ce qu’affirme l’intimé, on constate donc qu’au moment où la décision sur opposition a été rendue, certains avis médicaux permettaient d’envisager une amélioration sensible de l’état de santé, moyennant la poursuite d’un traitement, notamment chirurgical. c. Au vu des différents rapports précités, il appert que l'intervention préconisée par les chirurgiens de l’assuré visait à apporter à ce dernier une amélioration sensible de la fonction de son poignet droit, tant en ce qui concerne la mobilité que la force, ainsi qu’à soulager ses douleurs, de manière à favoriser sa réinsertion professionnelle (à tout le moins en étendant le spectre des professions envisageables, eu égard à son atteinte). L'amélioration escomptée de l’état de santé dépendait donc de la poursuite d'un traitement, de sorte que la décision de mettre fin au versement des indemnités journalières au 31 mai 2018 ainsi que de passer à l’examen du droit à la rente et à l’indemnité pour atteinte à l’intégrité, se révèle, au vu de ces propositions thérapeutiques, prématurée (arrêt du Tribunal fédéral des assurances U 305/03 du 31 août 2004 consid. 4). De surcroît, il importe de relever que l’intimée a accepté de prendre en charge plusieurs traitements postérieurement à la date à laquelle elle a jugé l’état de santé « stabilisé », à savoir le 31 mai 2018. En effet, elle s’est engagée à prendre en charge non seulement l’intervention chirurgicale précitée, mais encore un suivi par des spécialistes de la douleur et une rééducation sensitive. Interrogé par l’intimée sur la question de savoir si ces deux derniers traitements étaient propres à permettre une amélioration notable de l’état de santé, le médecin d’arrondissement, dans son rapport du 3 octobre 2018, n’a en tout cas pas exclu une telle perspective d’amélioration, puisqu’il a recommandé à la SUVA de prendre en charge ces traitements et de refaire le point sur leur efficacité, quelques mois plus tard.</w:t>
      </w:r>
    </w:p>
    <w:p>
      <w:r>
        <w:t>A/4061/2018 - 22/23 - d. Enfin, on relèvera que la qualification, faite par l’intimée, de l’intervention du</w:t>
      </w:r>
    </w:p>
    <w:p>
      <w:r>
        <w:rPr>
          <w:b/>
        </w:rPr>
        <w:t>E. 15</w:t>
      </w:r>
    </w:p>
    <w:p>
      <w:r>
        <w:t>janvier 2019 de « rechute » de l’accident du 8 septembre 2014 est sujette à caution, dans la mesure où cela impliquerait, à tout le moins en apparence, une guérison de l’atteinte du poignet droit (cf. supra consid. 5). Or, les différents rapports versés au dossier ne suggèrent aucune guérison (même apparente) de cette atteinte, mais tendent au contraire à démontrer qu’au-delà du 31 mai 2018, persistaient des douleurs, ainsi qu’un manque de force et de mobilité du poignet, limitations que certains traitements – dont l’opération préconisée par les chirurgiens de l’assuré – étaient encore susceptibles d’améliorer. L’intimée a d’ailleurs pris en charge ces propositions thérapeutiques. e. En présence d’une perspective d’amélioration sensible de l'état de santé, l'une des conditions de l'art. 19 al. 1 LAA n'était pas remplie. Partant, le recours doit être partiellement admis, la décision sur opposition attaquée annulée et la cause renvoyée à l’intimée, à charge pour celle-ci de statuer à nouveau – cas échéant, à l’issue d’éventuelles mesures d’instruction complémentaires qu’elle jugerait opportunes – sur la date de la stabilisation de l’état de santé et sur la fin du droit aux indemnités journalières, respectivement sur le droit du recourant à une rente d’invalidité et à une indemnité pour atteinte à l’intégrité. Vu l’issue du litige, il sera renoncé aux mesures d'instruction proposées par le recourant, par appréciation anticipée des preuves (ATF 122 II 464 consid. 4a ; ATF 122 III 219 consid. 3c). Le recourant obtenant partiellement gain de cause, une indemnité de CHF 3'000.- lui est accordée à titre de participation à ses frais et dépens (art. 61 let. g LPGA ; art. 89H al. 3 LPA ; art. 6 du règlement sur les frais, émoluments et indemnités en procédure administrative du 30 juillet 1986 - RFPA ; RS E 5 10.03), à la charge de l'intimée. La procédure est gratuite (art. 89H al. 1 LPA). ******</w:t>
      </w:r>
    </w:p>
    <w:p>
      <w:r>
        <w:t>A/4061/2018 - 23/23 -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