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ATAS/150/2017 vom 27. Februar 2017</w:t>
      </w:r>
    </w:p>
    <w:p>
      <w:r>
        <w:t>GE Cour de justice, 2017-02-27, FR</w:t>
      </w:r>
    </w:p>
    <w:p>
      <w:r>
        <w:rPr>
          <w:b/>
        </w:rPr>
        <w:t xml:space="preserve">Quelle: </w:t>
      </w:r>
      <w:r>
        <w:t>https://mcp.opencaselaw.ch/entscheid/ge_gerichte_ATAS_150_2017</w:t>
      </w:r>
    </w:p>
    <w:p>
      <w:r>
        <w:t>FR: GE_GERICHTE ATAS/150/2017 du 27 février 2017</w:t>
      </w:r>
    </w:p>
    <w:p>
      <w:r>
        <w:t>IT: GE_GERICHTE ATAS/150/2017 del 27 febbraio 2017</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A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 délai de recours est de 30 jours (art. 60 al. 1 LPGA). Interjeté dans la forme et le délai prévus par la loi, le recours est recevable, en vertu des art. 56ss LPGA.</w:t>
      </w:r>
    </w:p>
    <w:p>
      <w:r>
        <w:rPr>
          <w:b/>
        </w:rPr>
        <w:t>E. 4</w:t>
      </w:r>
    </w:p>
    <w:p>
      <w:r>
        <w:t>Le litige porte sur le droit du recourant à une rente d’invalidité et à des mesures d’ordre professionnelle.</w:t>
      </w:r>
    </w:p>
    <w:p>
      <w:r>
        <w:rPr>
          <w:b/>
        </w:rPr>
        <w:t>E. 5</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w:t>
      </w:r>
    </w:p>
    <w:p>
      <w:r>
        <w:t>A/2954/2016 - 12/23 -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rPr>
          <w:b/>
        </w:rPr>
        <w:t>E. 6</w:t>
      </w:r>
    </w:p>
    <w:p>
      <w:r>
        <w:t>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7</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w:t>
      </w:r>
    </w:p>
    <w:p>
      <w:r>
        <w:t>A/2954/2016 - 13/23 -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w:t>
      </w:r>
    </w:p>
    <w:p>
      <w:r>
        <w:t>A/2954/2016 - 14/23 - ces avis et il y a lieu de mettre en œuvre une expertise par un médecin indépendant selon la procédure de l'art. 44 LPGA ou une expertise judiciaire (ATF 135 V 465 consid. 4.6; arrêt du Tribunal fédéral 9C_301/2013 du 4 septembre 2013 consid. 3).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w:t>
      </w:r>
    </w:p>
    <w:p>
      <w:r>
        <w:t>A/2954/2016 - 15/23 -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Les constatations médicales peuvent être complétées par des renseignements d’ordre professionnel, par exemple au terme d'un stage dans un centre d'observation professionnel de l'assurance-invalidité, en vue d'établir concrètement dans quelle mesure l'assuré est à même de mettre en valeur une capacité de travail et de gain sur le marché du travail. Il appartient alors au médecin de décrire les activités que l'on peut encore raisonnablement attendre de l'assuré compte tenu de ses atteintes à la santé (influence de ces atteintes sur sa capacité à travailler en position debout et à se déplacer; nécessité d'aménager des pauses ou de réduire le temps de travail en raison d'une moindre résistance à la fatigue, par exemple), en exposant les motifs qui le conduisent à retenir telle ou telle limitation de la capacité de travail. En revanche, il revient au conseiller en réadaptation, non au médecin, d'indiquer quelles sont les activités professionnelles concrètes entrant en considération sur la base des renseignements médicaux et compte tenu des aptitudes résiduelles de l'assuré. Dans ce contexte, l'expert médical et le conseiller en matière professionnelle sont tenus d'exercer leurs tâches de manière complémentaire, en collaboration étroite et réciproque (ATF 107 V 17 consid. 2b; SVR 2006 IV n° 10 p. 39). En cas d'appréciation divergente entre les organes d'observation professionnelle et les données médicales, l'avis dûment motivé d'un médecin prime pour déterminer la capacité de travail raisonnablement exigible de l'assuré (arrêt du Tribunal fédéral des assurances I 531/04 du 11 juillet 2005, consid. 4.2). En effet, les données médicales permettent généralement une appréciation plus objective du cas et l'emportent, en principe, sur les constatations qui peuvent être faites à l'occasion d'un stage d'observation professionnelle, qui sont susceptibles d’être influencées par des éléments subjectifs liés au comportement de l'assuré pendant le stage (arrêt du Tribunal fédéral 9C_462/2009 du 2 décembre 2009 consid. 2.4). Au regard de la collaboration, étroite, réciproque et complémentaire selon la jurisprudence, entre les médecins et les organes d'observation professionnelle (cf. ATF 107 V 17 consid. 2b), on ne saurait toutefois dénier toute valeur aux renseignements d'ordre professionnel recueillis à l'occasion d'un stage pratique pour apprécier la capacité résiduelle de travail de l'assuré en cause. Au contraire, dans les cas où l'appréciation d'observation professionnelle diverge sensiblement de l'appréciation médicale, il incombe à l'administration, respectivement au juge - conformément au principe de la libre appréciation des preuves - de confronter les deux évaluations et, au besoin de requérir un complément d'instruction (ATF 9C_1035/2009 du 22 juin 2010</w:t>
      </w:r>
    </w:p>
    <w:p>
      <w:r>
        <w:t>A/2954/2016 - 16/23 - consid. 4.1, in SVR 2011 IV n° 6 p. 17; ATF 9C_833/2007 du 4 juillet 2008, in Plädoyer 2009/1 p. 70; arrêt du Tribunal fédéral des assurances I 35/03 du 24 octobre 2003 consid. 4.3 et les références, in Plädoyer 2004/3 p. 64; arrêt du Tribunal fédéral 9C_512/2013 du 16 janvier 2014 consid. 5.2.1). 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8</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w:t>
      </w:r>
    </w:p>
    <w:p>
      <w:r>
        <w:t>A/2954/2016 - 17/23 -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lorsqu'il s'agit de préciser un point de l'expertise ordonnée par l'administration ou de demander un complément à l'expert (ATF 137 V 210 consid. 4.4.1.3 et 4.4.1.4; SVR 2010 IV n. 49 p. 151, consid. 3.5; arrêt du Tribunal fédéral 8C_760/2011 du 26 janvier 2012 consid. 3).</w:t>
      </w:r>
    </w:p>
    <w:p>
      <w:r>
        <w:rPr>
          <w:b/>
        </w:rPr>
        <w:t>E. 9</w:t>
      </w:r>
    </w:p>
    <w:p>
      <w:r>
        <w:t>En vertu des art. 28 al. 1 et 29 al. 1 LAI (dans sa teneur en vigueur depuis le 1er janvier 2008),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w:t>
      </w:r>
    </w:p>
    <w:p>
      <w:r>
        <w:rPr>
          <w:b/>
        </w:rPr>
        <w:t>E. 10</w:t>
      </w:r>
    </w:p>
    <w:p>
      <w:r>
        <w:t>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Ce n'est qu'en présence de circonstances particulières qu'il peut se justifier qu'on s'en écarte et qu'on recoure aux données statistiques résultant des ESS édité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w:t>
      </w:r>
    </w:p>
    <w:p>
      <w:r>
        <w:t>A/2954/2016 - 18/23 -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(arrêts du Tribunal fédéral des assurances I 168/05 du 24 avril 2006 consid. 3.3 et B 80/01 du 17 octobre 2003 consid. 5.2.2). Quant au revenu d'invalide, il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Dans ce cas, il convient de se fonder, en règle générale, sur les salaires mensuels indiqués dans la table ESS TA1, à la ligne «total secteur privé» (ATF 124 V 321 consid. 3b/aa). On se réfère alors à la statistique des salaires bruts standardisés, en se fondant toujours sur la médiane ou valeur centrale (ATF 124 V 321 consid. 3b/bb). La valeur statistique - médiane - s'applique alors,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(cf. arrêts du Tribunal fédéral 9C_603/2015 du 25 avril 2016 consid. 8.1 et 9C_242/2012 du 13 août 2012 consid. 3). Toutefois, lorsque cela apparaît indiqué dans un cas concret pour permettre à l'assuré de mettre pleinement à profit sa capacité résiduelle de travail, il y a lieu parfois de se référer aux salaires mensuels de secteurs particuliers (secteur 2 [production] ou 3 [services]), voire à des branches particulières. Tel est notamment le cas lorsqu’avant l'atteinte à la santé, l'assuré a travaillé dans un domaine pendant de nombreuses années et qu'une activité dans un autre domaine n'entre pas en ligne de compte. En outre, lorsque les circonstances du cas concret le justifient, on peut s'écarter de la table TA1 (secteur privé) pour se référer à la table TA7 (secteur privé et secteur public [Confédération] ensemble), si cela permet de fixer plus précisément le revenu d'invalide et que le secteur en question est adapté et exigible (ATF 133 V 545, et les références citées).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w:t>
      </w:r>
    </w:p>
    <w:p>
      <w:r>
        <w:t>A/2954/2016 - 19/23 -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arrêt du Tribunal fédéral 8C_337/2009 du 18 février 2010 consid. 7.5). Dans l’hypothèse où un assuré présente une entière capacité de travail dans toute activité lucrative ou lorsque les revenus avec et sans invalidité sont basés sur la même tabelle statistique, les revenus avant et après invalidité sont calculés sur la même base. Il est dès lors superflu de les chiffrer avec exactitude, le degré d’invalidité se confondant avec celui de l’incapacité de travail, sous réserve d’une éventuelle réduction du salaire statistique (arrêts du Tribunal fédéral des assurances I 43/05 du 30 juin 2006 consid. 5.2 et I 1/03 du 15 avril 2003 consid. 5.2). Selon la jurisprudence, le résultat exact du calcul du degré d’invalidité doit être arrondi au chiffre en pour cent supérieur ou inférieur selon les règles applicables en mathématiques. En cas de résultat jusqu'à x,49 %, il faut arrondir à x % et pour des valeurs à partir de x,50 %, il faut arrondir à x+1 % (ATF 130 V 121 consid. 3.2).</w:t>
      </w:r>
    </w:p>
    <w:p>
      <w:r>
        <w:rPr>
          <w:b/>
        </w:rPr>
        <w:t>E. 11</w:t>
      </w:r>
    </w:p>
    <w:p>
      <w:r>
        <w:t>En l’espèce, l’expertise du Dr N______ n’emporte pas la conviction. Le Dr N______ indique qu’il n’a pas pu effectuer d’examen clinique, le recourant retenant tous les mouvements et réagissant douloureusement au moindre effleurement ; il relève, dans son appréciation, qu’au vu de l’examen clinique et des très nettes différences entre son observation en dehors de l’examen (dans le bureau et dans la rue) et durant l’examen clinique, seul un diagnostic de syndrome somatoformes douloureux est retenu. Du point de vue somatique il pose un diagnostic de status après discectomie C5 – C6, tout en précisant que l’atteinte radiculaire C6 droite a été guérie par l’intervention chirurgicale, que les plaintes au niveau du membre supérieur gauche n’ont pas été mises en relation avec une atteinte radiculaire ou périphérique et que les plaintes lombaires sont évoquées sans que des investigations n’aient été faites. Au vu de ce qui précède, on relève que le Dr N______ n’a posé aucun diagnostic somatique avec répercussion sur la capacité de travail et a conclu, en présence des manifestations douloureuses du recourant lors de l’examen clinique et de ses</w:t>
      </w:r>
    </w:p>
    <w:p>
      <w:r>
        <w:t>A/2954/2016 - 20/23 - propres observations, du recourant, notamment dans la rue, que seul un diagnostic de troubles somatoformes douloureux était pertinent. Cette conclusion est hâtive et peu motivée. Tout d’abord, l’expert ne donne en particulier pas d’explications sur l’observation du recourant dans la rue, et ce dernier a contesté, lors de son audition devant la chambre de céans, que l’expert ait pu l’observer lorsqu’il se déshabillait et se rhabillait. Ensuite, il apparaît incohérent de nier tout diagnostic somatique, tout en fixant des limitations fonctionnelles quant au port de charge, ainsi qu’aux mouvements répétés de la nuque et des bras et de conclure à l’incapacité de travail totale du recourant dans son ancienne activité. Ces limitations n’ont pas été reliées par l’expert au trouble somatoforme douloureux puisqu’il estime qu’une expertise psychiatrique est nécessaire pour connaitre la répercussion du trouble somatoforme douloureux sur la capacité de travail. Il apparait ainsi contradictoire de nier tout diagnostic incapacitant et de retenir des limitations fonctionnelles somatiques, elles-mêmes incapacitantes. Au surplus, l’avis du Dr N______ a été clairement contesté par les médecins intervenants. Le Dr R______ (avis du 15 juin 2016), a estimé que le recourant présentait des cervicalgies invalidantes lesquelles ne permettaient pas l’exercice d’une activité adaptée à 100 %. Le Dr J______ (avis du 16 avril 2013) a également émis un avis contraire à celui du Dr N______ dès lors qu’il constate une capacité de travail du recourant de 50 %, avec une baisse de rendement de 50 %, dans une activité adaptée, compte tenu de cervicalgies chroniques et de limitations de la mobilité du rachis cervical. Quant au Dr I______ (avis du 19 avril 2013) il a estimé qu’une capacité de travail dans une activité adaptée n’était possible que moyennant une régression douloureuse. Enfin, du point de vue psychiatrique, la Dresse P______ a constaté qu’il n’existait pas de diagnostic psychiatrique, en particulier aucun syndrome douloureux somatoforme, conclusion qui va dans le sens contraire de celle du Dr N______ en remettant sérieusement en cause le raisonnement de celui-ci. Par ailleurs, le Dr R______ (avis du 26 octobre 2016) a fait état d’une aggravation de l’état de santé du recourant par l’apparition d’irradiations douloureuses dans les membres supérieurs et d’une IRM du 27 septembre 2016 montrant une récidive herniaire ; cette nouvelle symptomatologie est décrite comme présente « au cour des derniers mois », soit, contrairement à l’avis de l’intimé, possiblement antérieurement à la décision litigieuse du 18 juillet 2016 ; en outre une électroneuromyographie du 1er novembre 2016 a démontré des signes corroborés par l’imagerie ; enfin cette nouvelle symptomatologie a entrainé la pratique de trois infiltrations (avis du Dr R______ du 13 janvier 2017). Il apparait ainsi nécessaire de procéder à une évaluation de la situation médicale du recourant, comprenant l’aggravation alléguée.</w:t>
      </w:r>
    </w:p>
    <w:p>
      <w:r>
        <w:t>A/2954/2016 - 21/23 -</w:t>
      </w:r>
    </w:p>
    <w:p>
      <w:r>
        <w:rPr>
          <w:b/>
        </w:rPr>
        <w:t>E. 12</w:t>
      </w:r>
    </w:p>
    <w:p>
      <w:r>
        <w:t>Partant, une expertise rhumatologique judiciaire est nécessaire. A cette fin, le Dr T______, FMH rhumatologie, Hôpital orthopédique, à Lausanne, sera mandaté.</w:t>
      </w:r>
    </w:p>
    <w:p>
      <w:r>
        <w:rPr>
          <w:b/>
        </w:rPr>
        <w:t>E. 13</w:t>
      </w:r>
    </w:p>
    <w:p>
      <w:r>
        <w:t>Quel est le pronostic ?</w:t>
      </w:r>
    </w:p>
    <w:p>
      <w:r>
        <w:rPr>
          <w:b/>
        </w:rPr>
        <w:t>E. 14</w:t>
      </w:r>
    </w:p>
    <w:p>
      <w:r>
        <w:t>Des mesures de réadaptation professionnelle sont-elles envisageables ?</w:t>
      </w:r>
    </w:p>
    <w:p>
      <w:r>
        <w:rPr>
          <w:b/>
        </w:rPr>
        <w:t>E. 15</w:t>
      </w:r>
    </w:p>
    <w:p>
      <w:r>
        <w:t>Faire toutes autres observations ou suggestions utiles.</w:t>
      </w:r>
    </w:p>
    <w:p>
      <w:r>
        <w:t>III. Réserve le sort des frais jusqu’à droit jugé au fond.</w:t>
      </w:r>
    </w:p>
    <w:p>
      <w:r>
        <w:t>La greffière</w:t>
      </w:r>
    </w:p>
    <w:p>
      <w:r>
        <w:t>Julia BARRY</w:t>
      </w:r>
    </w:p>
    <w:p>
      <w:r>
        <w:t>La présidente</w:t>
      </w:r>
    </w:p>
    <w:p>
      <w:r>
        <w:t>Valérie MONTANI</w:t>
      </w:r>
    </w:p>
    <w:p>
      <w:r>
        <w:t>Une copie conforme du présent arrêt est notifiée aux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