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ATAS/150/2013 vom 12. Februar 2013</w:t>
      </w:r>
    </w:p>
    <w:p>
      <w:r>
        <w:t>GE Cour de justice, 2013-02-12, FR</w:t>
      </w:r>
    </w:p>
    <w:p>
      <w:r>
        <w:rPr>
          <w:b/>
        </w:rPr>
        <w:t xml:space="preserve">Quelle: </w:t>
      </w:r>
      <w:r>
        <w:t>https://mcp.opencaselaw.ch/entscheid/ge_gerichte_ATAS_150_2013</w:t>
      </w:r>
    </w:p>
    <w:p>
      <w:r>
        <w:t>FR: GE_GERICHTE ATAS/150/2013 du 12 février 2013</w:t>
      </w:r>
    </w:p>
    <w:p>
      <w:r>
        <w:t>IT: GE_GERICHTE ATAS/150/2013 del 12 febbraio 2013</w:t>
      </w:r>
    </w:p>
    <w:p>
      <w:pPr>
        <w:pStyle w:val="Heading2"/>
      </w:pPr>
      <w:r>
        <w:t>Erwägungen</w:t>
      </w:r>
    </w:p>
    <w:p>
      <w:r>
        <w:rPr>
          <w:b/>
        </w:rPr>
        <w:t>E. 1</w:t>
      </w:r>
    </w:p>
    <w:p>
      <w:r>
        <w:t>La compétence de la Cour de céans et la recevabilité du recours ont déjà été admises par arrêt du 31 janvier 2012.</w:t>
      </w:r>
    </w:p>
    <w:p>
      <w:r>
        <w:rPr>
          <w:b/>
        </w:rPr>
        <w:t>E. 2</w:t>
      </w:r>
    </w:p>
    <w:p>
      <w:r>
        <w:t>La LPGA, entrée en vigueur le 1er janvier 2003, est applicable à la présente procédure. Sur le plan matériel, la LAI a subi plusieurs modifications entrées en vigueur le 1er janvier 2012 (révision 6a), portant notamment sur l'accès des bénéficiaires de rentes aux mesures de réadaptation (art. 8a LAI). Cependant, la décision querellée a été rendue du 26 septembre 2011, de sorte que les dispositions législatives modifiées postérieurement à cette date ne sont pas applicables. En effet,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w:t>
      </w:r>
    </w:p>
    <w:p>
      <w:r>
        <w:rPr>
          <w:b/>
        </w:rPr>
        <w:t>E. 7</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w:t>
      </w:r>
    </w:p>
    <w:p>
      <w:r>
        <w:t>A/3391/2011 - 17/23 - modifications de ces revenus susceptibles d’influencer le droit à la rente, survenues jusqu’au moment où la décision est rendue (c’est-à-dire entre le projet de décision et la décision elle-même), doivent être prises en compte (ATF 129 V 222 consid. 4.1, ATF 128 V 174).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ATFA non publié I 881/06 du</w:t>
      </w:r>
    </w:p>
    <w:p>
      <w:r>
        <w:rPr>
          <w:b/>
        </w:rPr>
        <w:t>E. 9</w:t>
      </w:r>
    </w:p>
    <w:p>
      <w:r>
        <w:t>Il convient encore d'examiner le calcul du degré d'invalidité de l'assuré. Selon l'attestation remplie en juin 1995 par X_________ SA, le revenu aurait été en 1995 de 4'031 fr. par mois, gratification de 8.33 % non incluse, ce qui correspond à un revenu annuel de 52'401 fr. presque identique aux 52'403 fr. retenus par l'OAI. Indexé en fonction de l'Indice suisse des salaires à 2011, date de la décision litigieuse, le revenu sans invalidité est ainsi de 63'589 fr. Pour le revenu d'invalide, la référence au revenu statistique tiré d'activités simples et répétitives est conforme à la jurisprudence. Selon l'ESS 2010, ce revenu était en 2010 de 5'000 fr. par mois pour 40 heures hebdomadaires, 13ème salaire compris. Indexé à 2011 et en tenant compte de la durée normale de travail de 41.7 heures selon la statistique sur la durée normale du travail (DNT), ce revenu est de 63'175 fr. et de 50'540 fr. après abattement de 20 %. La comparaison entre ces revenus aboutit à un degré d'invalidité de 20.48 %. Il sied de souligner qu'en opérant une réduction statistique de 20 %, l'OAI est resté dans les limites de son pouvoir d'appréciation. Quoi qu'il en soit, même en procédant à l'abattement maximal de 25 %, le degré d'invalidité serait de 25.45 %, ce qui reste insuffisant pour ouvrir le droit à une rente. Un tel taux ouvre en revanche le droit à des mesures de reclassement, pour lesquelles la jurisprudence a fixé un seuil minimal de la capacité de gain de l'ordre de 20 % (ATF 124 V 108 consid. 2b; ATFA non publié I 665/99 du 18 octobre 2000, consid. 4b). La décision querellée ne porte cependant que sur le droit à la rente, sans statuer sur des mesures d'ordre professionnel. L'assuré ne prend d'ailleurs aucune conclusion tendant à l'octroi de telles mesures. Or,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w:t>
      </w:r>
    </w:p>
    <w:p>
      <w:r>
        <w:t>A/3391/2011 - 22/23 - d’objet, et un jugement sur le fond ne peut pas être prononcé (ATF 131 V 164 consid. 2.1; ATF 125 V 413 consid. 1a et les références citées). Il appartiendra dès lors à l'assuré, cas échéant, de requérir des mesures de reclassement.</w:t>
      </w:r>
    </w:p>
    <w:p>
      <w:r>
        <w:rPr>
          <w:b/>
        </w:rPr>
        <w:t>E. 10</w:t>
      </w:r>
    </w:p>
    <w:p>
      <w:r>
        <w:t>Eu égard à ce qui précède, le recours est rejeté. L'assuré, qui succombe, supporte l'émolument de 200 fr. (art. 69 al. 1bis LAI).</w:t>
      </w:r>
    </w:p>
    <w:p>
      <w:r>
        <w:t>A/3391/2011 - 23/23 -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