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ATAS/1508/2008 vom 23. Dezember 2008</w:t>
      </w:r>
    </w:p>
    <w:p>
      <w:r>
        <w:t>GE Cour de justice, 2008-12-23, FR</w:t>
      </w:r>
    </w:p>
    <w:p>
      <w:r>
        <w:rPr>
          <w:b/>
        </w:rPr>
        <w:t xml:space="preserve">Quelle: </w:t>
      </w:r>
      <w:r>
        <w:t>https://mcp.opencaselaw.ch/entscheid/ge_gerichte_ATAS_1508_2008</w:t>
      </w:r>
    </w:p>
    <w:p>
      <w:r>
        <w:t>FR: GE_GERICHTE ATAS/1508/2008 du 23 décembre 2008</w:t>
      </w:r>
    </w:p>
    <w:p>
      <w:r>
        <w:t>IT: GE_GERICHTE ATAS/1508/2008 del 23 dicembre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t>A/2309/2008 - 13/17 -</w:t>
      </w:r>
    </w:p>
    <w:p>
      <w:r>
        <w:rPr>
          <w:b/>
        </w:rPr>
        <w:t>E. 2</w:t>
      </w:r>
    </w:p>
    <w:p>
      <w:r>
        <w:t>La loi fédérale sur la partie générale du droit des assurances sociales du 6 octobre 2000 (ci-après : LPGA), entrée en vigueur le 1er janvier 2003, est applicable en l’espèce.</w:t>
      </w:r>
    </w:p>
    <w:p>
      <w:r>
        <w:rPr>
          <w:b/>
        </w:rPr>
        <w:t>E. 3</w:t>
      </w:r>
    </w:p>
    <w:p>
      <w:r>
        <w:t>Adressé par pli postal du 26 juin 2008, le recours contre la décision de l’OCAI du 20 mai 2008, mais postée le 27 mai 2008 intervient en temps utile (art. 60 al. 1 LPGA). Selon l’art. 61 let. a LPGA, la procédure doit être simple. Par ailleurs, la recourante plaide en personne sans l’aide d’un mandataire professionnellement qualifié ou d’un avocat. Ainsi, bien que formellement la recourante sollicite la reconsidération de la décision litigieuse, il convient de traiter son acte comme un recours, conformément d’ailleurs à son titre. Une autre solution consacrerait un formalisme excessif. Ainsi, le recours est recevable.</w:t>
      </w:r>
    </w:p>
    <w:p>
      <w:r>
        <w:rPr>
          <w:b/>
        </w:rPr>
        <w:t>E. 4</w:t>
      </w:r>
    </w:p>
    <w:p>
      <w:r>
        <w:t>Le litige porte sur le degré d’invalidité et cas échéant le droit à un trois-quarts de rente ou une rente complète d’invalidité de la recourante.</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à celui qu’il pourrait obtenir en exerçant l’activité qui peut raisonnablement être exigé de lui après les traitements et les mesures de réadaptation, sur un marché du travail équilibré (art. 16 LPGA et 28 al. 2 LAI). 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La déduction, qui doit être effectuée globalement, résulte d'une évaluation et doit être brièvement motivée par l'administration. Le juge des assurances sociales ne peut, sans motif pertinent, substituer son appréciation à celle de l'administration</w:t>
      </w:r>
    </w:p>
    <w:p>
      <w:r>
        <w:t>A/2309/2008 - 14/17 - (ATF 126 V 75). En présence de salaires réels tirés de descriptions de postes de travail, une déduction n'est toutefois pas admissible (ATF 129 V 482 consid. 4.2.3).</w:t>
      </w:r>
    </w:p>
    <w:p>
      <w:r>
        <w:rPr>
          <w:b/>
        </w:rPr>
        <w:t>E. 6</w:t>
      </w:r>
    </w:p>
    <w:p>
      <w:r>
        <w:t>Selon la jurisprudence (DTA 2001 p. 169),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7</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Les médecins du SMR sont liés par un rapport de travail avec l’Office. Si ce fait n’enlève a priori aucunement la valeur probante de leur examen, il faut relever cependant qu’il ne s’agit pas de médecins indépendants, spécialistes reconnus, au sens de la jurisprudence susmentionnée, et donc que leur analyse ne vaut pas expertise (ATAS 132/2007 du 16 janvier 2007). Quant au médecin traitant, le juge peut et doit tenir compte du fait que selon l’expérience, le médecin traitant est généralement enclin, en cas de doute, à prendre parti pour son patient en raison de la relation de confiance qui l’unit à ce dernier (ATF 125 V 353, consid. 3b/cc et les références).</w:t>
      </w:r>
    </w:p>
    <w:p>
      <w:r>
        <w:rPr>
          <w:b/>
        </w:rPr>
        <w:t>E. 8</w:t>
      </w:r>
    </w:p>
    <w:p>
      <w:r>
        <w:t>En l’espèce, il est établit d’un point de vue médical, compte tenu des avis concordants de la Dresse T__________, du Dr U__________ et du Prof. O__________ que la recourante dispose d’une capacité de travail de 50%, dans une activité adaptée.</w:t>
      </w:r>
    </w:p>
    <w:p>
      <w:r>
        <w:t>A/2309/2008 - 15/17 - De l’aveu même de la représentante de l’OCAI, lors de l’audience du 2 octobre 2008, aucune activité adaptée n’a été déterminée. L’intimé y a renoncé en invoquant l’insuffisance du taux d’invalidité de la recourante, alors que celui-ci a été fixé à 50%, dès le 1er mars 2007. A ce sujet, le Tribunal s’interroge sur la manière dont le taux d’invalidité, dit insuffisant, a pu être déterminé. La fixation du taux d’invalidité suppose, en effet, la prise en compte d’un revenu après invalidité, dans le cadre d’une activité adaptée. Or, pour évaluer ledit revenu, il est forcément nécessaire de déterminer, au moins une catégorie d’activité adaptée. Cette situation paraît également liée au fait que l’avis sur réadaptation professionnelle du 15 mai 2007 est intervenu avant qu’un statut d’active à 100% soit reconnu à la recourante, dans le cadre de l’enquête économique sur le ménage du 27 juin 2007, ce qui a largement modifié la détermination du revenu avant invalidité, et par voie de conséquence le taux d’invalidité. Dans ces circonstances, il appartenait à l’OCAI de demander un second avis sur réadaptation professionnelle. Le calcul du taux d’invalidité confirme l’absence de prise en compte des limitations fonctionnelles de la recourante dans le cadre de l’évaluation de l’activité adaptée. En effet, l’OCAI a pris en compte la ligne « total » du tableau TA1 de l’ESS 2004, soit la moyenne de toutes les activités listées. Une telle méthode ne permet assurément pas de prendre en compte les limitations fonctionnelles spécifiques à un individu déterminé. Il appartiendra ainsi à l’intimé de déterminer plus précisément une activité adaptée tenant compte des limitations fonctionnelles de la recourante, outre la seule durée limitée du temps de travail. Selon les avis du Dr. U__________ et du Prof. O__________, la recourante ne peut effectuer une activité professionnelle qu’en position assise durant quatre heures au maximum. Différentes limitations fonctionnelles ont été admises, y compris par la Dresse T__________ du SMR. Le rendement de la recourante sera, par ailleurs, fortement diminué par la nécessité de se trouver en permanence à proximité immédiate des toilettes et de s’y rendre à plusieurs reprises. Les douleurs de la recourante viendront encore diminuer sa capacité de rendement. Il appartiendra à l’intimé de déterminer la perte de rendement de la recourante. De surcroît, il apparaît au Tribunal que la réduction applicable au salaire statistique pour tenir compte de l’ensemble des circonstances est insuffisante, compte tenu de l’âge de la recourante, et de ses différentes limitations liées au handicap. Certes, le juge ne peut librement substituer son appréciation à celle de l’administration, raison pour laquelle il s’abstiendra de fixer lui-même un taux déterminé. Toutefois, il appartient à l’administration de motiver brièvement son appréciation. Or, la motivation fournie est manifestement insuffisante, puisqu’elle ne permet pas de</w:t>
      </w:r>
    </w:p>
    <w:p>
      <w:r>
        <w:t>A/2309/2008 - 16/17 - vérifier de quels critères il a été, ou non, tenu compte. Il appartiendra ainsi à l’intimé de réexaminer cette question et de motiver sa décision. Au vu des considérations qui précèdent, le renvoi du dossier à l’OCAI s’impose. En effet, le dossier doit être instruit de manière complémentaire, dans les sens des considérants. L’intimé dispose d’une marge d’appréciation à laquelle le Tribunal ne peut substituer sa propre appréciation. Encore faut-il que l’appréciation de l’administration se fonde sur un état de fait complètement élucidé. L’instruction du dossier par le Tribunal priverait ainsi l’administration d’une prérogative essentielle. Elle priverait également la recourante d’un degré de juridiction.</w:t>
      </w:r>
    </w:p>
    <w:p>
      <w:r>
        <w:rPr>
          <w:b/>
        </w:rPr>
        <w:t>E. 9</w:t>
      </w:r>
    </w:p>
    <w:p>
      <w:r>
        <w:t>Ainsi, le recours sera admis et le dossier renvoyé à l’intimé pour instruction et nouvelle décision dans le sens des considérants.</w:t>
      </w:r>
    </w:p>
    <w:p>
      <w:r>
        <w:rPr>
          <w:b/>
        </w:rPr>
        <w:t>E. 10</w:t>
      </w:r>
    </w:p>
    <w:p>
      <w:r>
        <w:t>Un émolument de 500 fr. est mis à charge de l’intimé, qui succombe (cf. art. 69 al. 1bis LAI).</w:t>
      </w:r>
    </w:p>
    <w:p>
      <w:r>
        <w:t>A/2309/2008 - 17/17 -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