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ATAS/1507/2008 vom 23. Dezember 2008</w:t>
      </w:r>
    </w:p>
    <w:p>
      <w:r>
        <w:t>GE Cour de justice, 2008-12-23, FR</w:t>
      </w:r>
    </w:p>
    <w:p>
      <w:r>
        <w:rPr>
          <w:b/>
        </w:rPr>
        <w:t xml:space="preserve">Quelle: </w:t>
      </w:r>
      <w:r>
        <w:t>https://mcp.opencaselaw.ch/entscheid/ge_gerichte_ATAS_1507_2008</w:t>
      </w:r>
    </w:p>
    <w:p>
      <w:r>
        <w:t>FR: GE_GERICHTE ATAS/1507/2008 du 23 décembre 2008</w:t>
      </w:r>
    </w:p>
    <w:p>
      <w:r>
        <w:t>IT: GE_GERICHTE ATAS/1507/2008 del 23 dicembre 2008</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En l'occurrence, l'OCAI, qui a notifié sous pli simple la décision entreprise du 15 août 2008, n'a pas apporté la preuve de la date de notification de celle-ci, de sorte qu'il faut admettre que l’assurée l’a reçue le 20 août 2008, comme elle l’affirme, - ce qui n’est d’ailleurs pas contesté par l’Office intimé.</w:t>
      </w:r>
    </w:p>
    <w:p>
      <w:r>
        <w:rPr>
          <w:b/>
        </w:rPr>
        <w:t>E. 3</w:t>
      </w:r>
    </w:p>
    <w:p>
      <w:r>
        <w:t>Interjeté ainsi en temps utile auprès de l’autorité compétente et dans les formes prescrites, par une assurée directement touchée dans ses intérêts juridiquement protégés par la décision querellée, le présent recours est recevable (art. 56 ss de la loi fédérale sur la partie générale du droit des assurances sociales, du 6 octobre 2000 (LPGA), entrée en vigueur le 1er janvier 2003.</w:t>
      </w:r>
    </w:p>
    <w:p>
      <w:r>
        <w:rPr>
          <w:b/>
        </w:rPr>
        <w:t>E. 4</w:t>
      </w:r>
    </w:p>
    <w:p>
      <w:r>
        <w:t>Est litigieux le point de savoir si la recourante remplit les conditions pour avoir droit à la poursuite de son reclassement professionnel, au vu de l’incapacité alléguée d’étudier à 100%.</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114 V 314 consid. 3c ; ATF 110 V 275 consid. 4a).</w:t>
      </w:r>
    </w:p>
    <w:p>
      <w:r>
        <w:rPr>
          <w:b/>
        </w:rPr>
        <w:t>E. 6</w:t>
      </w:r>
    </w:p>
    <w:p>
      <w:r>
        <w:t>L’art. 8 al. 1 LAI précise que les assurés invalides ou menacés d’une invalidité ont droit à des mesures de réadaptation pour autant que ces mesures soient nécessaires et de nature à rétablir, maintenir ou améliorer leur capacité de gain ou leur capacité d’accomplir leurs travaux habituels, d’une part, et que les conditions d’octroi des</w:t>
      </w:r>
    </w:p>
    <w:p>
      <w:r>
        <w:t>A/3389/2008 - 8/11 - différentes mesures soient remplies, d’autre part. Celles-ci comprennent en particulier des mesures d'ordre professionnel (orientation professionnelle, formation professionnelle initiale, reclassement professionnel, service de placement; art. 8 al. 3 LAI).</w:t>
      </w:r>
    </w:p>
    <w:p>
      <w:r>
        <w:rPr>
          <w:b/>
        </w:rPr>
        <w:t>E. 7</w:t>
      </w:r>
    </w:p>
    <w:p>
      <w:r>
        <w:t>Un reclassement dans une nouvelle profession est dès lors accordé si l’invalidité de l’assuré rend nécessaire le reclassement et si sa capacité de gain peut ainsi, selon toute vraisemblance, être sauvegardée ou améliorée de manière notable (ATFA du 21 juillet 2003, cause I 696/02, consid. 3.2). S’agissant plus particulièrement d’une mesure de reclassement, il faut que l’invalidité soit d’une certaine gravité ; selon la jurisprudence, cette condition est donnée lorsque l’assuré subit dans l’activité encore exigible sans autre formation professionnelle, une perte de gain durable de quelque 20% (ATF 124 V 110 consid. 2b et les références).</w:t>
      </w:r>
    </w:p>
    <w:p>
      <w:r>
        <w:rPr>
          <w:b/>
        </w:rPr>
        <w:t>E. 8</w:t>
      </w:r>
    </w:p>
    <w:p>
      <w:r>
        <w:t>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9</w:t>
      </w:r>
    </w:p>
    <w:p>
      <w:r>
        <w:t>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En outre, le juge peut et doit tenir compte du fait que, selon l'expérience, le médecin traitant est généralement enclin, en cas de doute, à prendre parti pour son</w:t>
      </w:r>
    </w:p>
    <w:p>
      <w:r>
        <w:t>A/3389/2008 - 9/11 -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rPr>
          <w:b/>
        </w:rPr>
        <w:t>E. 10</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11</w:t>
      </w:r>
    </w:p>
    <w:p>
      <w:r>
        <w:t>A l’appui de la décision litigieuse, l’OCAI s’est fondé sur le rapport du SMR du 16 juin 2008, établi par la doctoressse D__________, spécialisée en psychiatrie, concluant à la récupération par l’assurée d’une capacité de travail complète depuis juin 2008. Pour la période antérieure, ce médecin a relevé que, selon le psychiatre traitant, l’assurée avait présenté un trouble dépressif majeur–épisode isolé, depuis septembre 2007, respectivement une incapacité de travail à 50% depuis le 19 octobre 2007. Dans le cas particulier, on doit constater que le rapport du SMR répond aux critères propres à lui conférer pleine valeur probante (cf. supra, § 9). La doctoresse D__________ a en effet dûment explicité les raisons pour lesquelles elle était parvenue à la conclusion que la patiente avait progressivement recouvré une capacité entière de travail dès juin 2008. La recourante ne remet du reste pas en cause cette appréciation.</w:t>
      </w:r>
    </w:p>
    <w:p>
      <w:r>
        <w:t>Par ailleurs, pour la période du 19 octobre 2007 à juin 2008, le SMR a repris implicitement (cf. rapport, p. 5) les conclusions du docteur C__________ exprimées dans son certificat du 13 mars 2008, à savoir que, depuis l’automne 2007, l’état de santé de sa patiente ne lui avait pas permis d’étudier dans une mesure supérieure à 50%, compte tenu des restrictions psychologiques dues à la dépression (troubles de la mémoire et de la concentration, et démotivation). L’estimation du psychiatre traitant est d’ailleurs partagée par le docteur</w:t>
      </w:r>
    </w:p>
    <w:p>
      <w:r>
        <w:t>A/3389/2008 - 10/11 - A__________, dans ses certificats et rapports des 30 novembre 2007, 11 février et</w:t>
      </w:r>
    </w:p>
    <w:p>
      <w:r>
        <w:rPr>
          <w:b/>
        </w:rPr>
        <w:t>E. 14</w:t>
      </w:r>
    </w:p>
    <w:p>
      <w:r>
        <w:t>La recourante obtenant partiellement gain de cause, une indemnité de Fr. 1'500.- lui sera accordée à titre de participation à ses frais et dépens (art. 61 let. g LPGA).</w:t>
      </w:r>
    </w:p>
    <w:p>
      <w:r>
        <w:rPr>
          <w:b/>
        </w:rPr>
        <w:t>E. 15</w:t>
      </w:r>
    </w:p>
    <w:p>
      <w:r>
        <w:t>L’émolument, fixé en l’espèce à Fr. 200.- est mis à la charge de l’OCAI, qui succombe (art. 69 al. 1bis LAI).</w:t>
      </w:r>
    </w:p>
    <w:p>
      <w:r>
        <w:t>A/3389/2008 - 11/11 -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