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ATAS/1506/2009 vom 30. November 2009</w:t>
      </w:r>
    </w:p>
    <w:p>
      <w:r>
        <w:t>GE Cour de justice, 2009-11-30, FR</w:t>
      </w:r>
    </w:p>
    <w:p>
      <w:r>
        <w:rPr>
          <w:b/>
        </w:rPr>
        <w:t xml:space="preserve">Quelle: </w:t>
      </w:r>
      <w:r>
        <w:t>https://mcp.opencaselaw.ch/entscheid/ge_gerichte_ATAS_1506_2009</w:t>
      </w:r>
    </w:p>
    <w:p>
      <w:r>
        <w:t>FR: GE_GERICHTE ATAS/1506/2009 du 30 novembre 2009</w:t>
      </w:r>
    </w:p>
    <w:p>
      <w:r>
        <w:t>IT: GE_GERICHTE ATAS/1506/2009 del 30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t>A/4393/2007 - 9/14 -</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w:t>
      </w:r>
    </w:p>
    <w:p>
      <w:r>
        <w:t>A/4393/2007 - 10/14 -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La recourante fait grief à l'administration d'avoir fondé son appréciation de sa capacité de travail sur le rapport du Dr P________, médecin du SMR, auquel elle reproche de n’avoir pas pris en compte les lombalgies dont elle souffre. Force est cependant de constater que les limitations finalement retenues par le Dr P________ - qui les a complétées après avoir eu connaissances des lombalgies</w:t>
      </w:r>
    </w:p>
    <w:p>
      <w:r>
        <w:t>A/4393/2007 - 11/14 - que la recourante n’avait étonnamment pas cru bon d’évoquer lors de sa consultation, ainsi que du rapport du rhumatologue – ont été corroborées par le Dr R________ lors de son audition. Pour mémoire, le médecin du SMR a décrit comme activité adaptée celle qui s’exercerait principalement en position assise, permettrait d’éviter le port de charges supérieures à 10 kilos, les mouvements au- delà de l'horizontale, les agenouillements et les montées et descentes d’escaliers, ainsi que la position penchée en avant ou en porte-à-faux. Quant au fait que les observations objectives montrent des atteintes modérées – le Dr P________ a évoqué une petite arthrose postérieure – il a également été confirmé par le Dr R________, ainsi que par le médecin traitant. Ce dernier a reconnu n’avoir pu constater objectivement ni déficit neurologique, ni faiblesse et a admis au surplus n’avoir pu mettre en évidence de limitations particulièrement importantes. Il ressort de ses propos qu’en définitive, il s’est surtout basé sur les plaintes de sa patiente. Quant à l’affirmation selon laquelle une activité s’exerçant en position assise serait contre-indiquée, elle a été infirmée par le Dr R________ – dont il convient de rappeler qu’il est spécialiste en la matière, au contraire du médecin traitant – qui a précisé qu’à condition que l’assurée puisse se lever de temps en temps, une position assise n’était pas problématique. Enfin, l’état dépressif évoqué pour la première fois par le médecin traitant lors de son audition n’a jamais été mentionné dans aucun rapport médical et n’est d’ailleurs pas suffisamment étayé. Dans la mesure où la recourante n’est pas suivie sur le plan psychique, qu’elle ne prend aucune médication, que le diagnostic n’a jamais été mentionné précédemment à la décision litigieuse, que la recourante n’a émis de plaintes à cet égard ni lors de l’examen du SMR ni même dans ses écritures et qu’enfin, le médecin traitant a reconnu n’en avoir pas fait état parce que lui-même avait considéré qu’il s’agissait d’une simple déprime, il n’y a pas lieu de se livrer à des investigations complémentaires sur ce plan. En effet, même s’il devait s’avérer qu’une atteinte psychique se soit développée, il est manifeste que cela ne pourrait être que postérieur à la décision litigieuse. Il ressort des considérations qui précèdent qu’une expertise supplémentaire telle que réclamée par la recourante ne se justifie pas puisque les atteintes à la santé ont été clairement identifiées, qu’elles ne sont pas contestées et qu’en définitive, le seul point divergent entre le médecin traitant et le médecin du SMR porte sur l’évaluation de l’incidence de ces atteintes sur la capacité de travail de la recourante. Il y a lieu de rappeler à cet égard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w:t>
      </w:r>
    </w:p>
    <w:p>
      <w:r>
        <w:t>A/4393/2007 - 12/14 - ignorés dans le cadre de l’expertise et qui sont suffisamment pertinents pour remettre en cause les conclusions de cette dernière. Tel n’est pas le cas en l’occurrence. On retiendra donc que, sur le plan somatique, la recourante dispose, dans une activité adaptée, d’une capacité de travail entière.</w:t>
      </w:r>
    </w:p>
    <w:p>
      <w:r>
        <w:rPr>
          <w:b/>
        </w:rPr>
        <w:t>E. 7</w:t>
      </w:r>
    </w:p>
    <w:p>
      <w:r>
        <w:t>Il convient à présent de se prononcer sur le calcul du taux d'invalidité effectué par l'OCAI.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A/4393/2007 - 13/14 -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revenu avant invalidité a été fixé à 31'200 fr. et n’est pas contesté. Quant au revenu d’invalide, en l’absence de reprise d’activité in casu, il convient de se référer aux salaires statistiques tels qu’ils découlent de l’Enquête suisse sur la structure des salaires éditée par l’Office fédéral de la statistique (ESS). Ainsi que cela a été dit supra, l’assurée pourrait exercer à plein temps une activité adaptée. Elle n’a par ailleurs pas de formation spécifique. Au regard du large éventail d'activités simples et répétitives offertes par les secteurs de la production et des services, on doit convenir qu'un marché du travail équilibré offre un nombre significatif de postes de travail légers, sédentaires, permettant l’alternance des positions, n'exigeant ni port de charges lourdes, ni travail en porte-à-faux ou bras levés et pouvant être occupés sans difficulté particulière par une personne atteinte d'une affection de l’épaule. Le revenu de 49'048 fr. retenu par l’intimé est correct. Il y a donc lieu de se référer à ses considérations sur ce point. Quant à la réduction de 15% opérée, elle apparaît suffisante pour tenir compte de l’âge de l’assurée et du fait que seules des activités légères sont désormais envisageables. Quoi qu’il en soit, même en appliquant la réduction maximale de 25%, on obtiendrait un revenu d’invalide de 36'786 fr. En l’absence de perte de gain, c’est à juste titre que l’intimé a nié le droit de la recourante à des prestations de l’assurance-invalidité, étant rappelé que l’intimé lui a précisé qu’il pourrait malgré tout envisager une aide au placement si l’intéressée en fait la demande motivée.</w:t>
      </w:r>
    </w:p>
    <w:p>
      <w:r>
        <w:t>A/4393/2007 - 14/14 -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