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ATAS/14/2026 vom 12. Januar 2026</w:t>
      </w:r>
    </w:p>
    <w:p>
      <w:r>
        <w:t>GE Cour de justice, 2026-01-12, FR</w:t>
      </w:r>
    </w:p>
    <w:p>
      <w:r>
        <w:rPr>
          <w:b/>
        </w:rPr>
        <w:t xml:space="preserve">Quelle: </w:t>
      </w:r>
      <w:r>
        <w:t>https://mcp.opencaselaw.ch/entscheid/ge_gerichte_ATAS_14_2026</w:t>
      </w:r>
    </w:p>
    <w:p>
      <w:r>
        <w:t>FR: GE_GERICHTE ATAS/14/2026 du 12 janvier 2026</w:t>
      </w:r>
    </w:p>
    <w:p>
      <w:r>
        <w:t>IT: GE_GERICHTE ATAS/14/2026 del 12 gennaio 2026</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litige porte sur le droit du recourant à une rente d’invalidité, singulièrement sur l’évaluation de sa capacité de travail.</w:t>
      </w:r>
    </w:p>
    <w:p>
      <w:r>
        <w:rPr>
          <w:b/>
        </w:rPr>
        <w:t>E. 3.1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Si un droit à la rente a pris naissance jusqu’au 31 décembre 2021, un éventuel passage au nouveau système de rentes linéaire s'effectue, selon l'âge du bénéficiaire de rente, conformément aux let. b et c des dispositions transitoires de la LAI relatives à la modification du 19 juin 2020. Selon la let. b al. 1, les bénéficiaires de rente dont le droit à la rente a pris naissance avant l'entrée en vigueur de cette modification et qui, à l'entrée en vigueur de la modification, ont certes 30 ans révolus, mais pas encore 55 ans, conservent la quotité de la rente tant que leur taux d'invalidité ne subit pas de modification au sens de</w:t>
      </w:r>
    </w:p>
    <w:p>
      <w:r>
        <w:t>A/1434/2024 - 11/18 - l'art. 17 al. 1 LPGA (cf. arrêt du Tribunal fédéral 9C _499/2022 du 29 juin 2023 consid. 4.1). En l’occurrence, la décision querellée a certes été rendue postérieurement au 1er janvier 2022. Toutefois, la demande de prestations ayant été déposée en novembre 2018 et le délai d’attente d’une année venant à échéance en juin 2018, un éventuel droit à une rente d’invalidité naîtrait antérieurement au 1er janvier 2022 (cf. art. 28 al. 1 let. b et 29 al. 1 LAI), de sorte que les dispositions applicables seront citées dans leur teneur en vigueur jusqu’au 31 décembre 2021. En outre, dans la mesure où le recourant avait, au 1er janvier 2022, 30 ans révolus mais moins de 55 ans, la quotité éventuelle de sa rente subsisterait tant que son taux d’invalidité ne subit pas de modification au sens de l’art. 17 al. 1 LPGA.</w:t>
      </w:r>
    </w:p>
    <w:p>
      <w:r>
        <w:rPr>
          <w:b/>
        </w:rPr>
        <w:t>E. 3.2</w:t>
      </w:r>
    </w:p>
    <w:p>
      <w:r>
        <w:t>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3.3</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3.4.1</w:t>
      </w:r>
    </w:p>
    <w:p>
      <w:r>
        <w:t>Pour pouvoir calculer le degré d’invalidité, l’administration (ou le juge, s’il y a eu un recours) a besoin de documents qu’un médecin, éventuellement d’autres</w:t>
      </w:r>
    </w:p>
    <w:p>
      <w:r>
        <w:t>A/1434/2024 - 12/18 - spécialistes, doivent lui fournir. La tâche du médecin consiste à porter un jugement sur l’état de santé et à indiquer dans quelle mesure et pour quelles activités l’assuré est, à ce motif, incapable de travailler (ATF 140 V 193 consid.</w:t>
      </w:r>
    </w:p>
    <w:p>
      <w:r>
        <w:rPr>
          <w:b/>
        </w:rPr>
        <w:t>E. 3.4.2</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3.4.3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w:t>
      </w:r>
    </w:p>
    <w:p>
      <w:r>
        <w:t>A/1434/2024 - 13/18 -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3.4.4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3.4.5</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3.4.6</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w:t>
      </w:r>
    </w:p>
    <w:p>
      <w:r>
        <w:t>A/1434/2024 - 14/18 -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 SVR 2006 IV n. 10 p. 39). En cas d'appréciation divergente entre les organes d'observation professionnelle et les données médicales, l'avis dûment motivé d'un médecin prime pour déterminer la capacité de travail raisonnablement exigible de l'assuré (arrêt du Tribunal fédéral 9C_486/2022 du 17 août 2023 consid. 6.5 et la référence). En effet, les données médicales permettent généralement une appréciation plus objective du cas et l'emportent, en principe, sur les constatations y compris d’ordre médical qui peuvent être faites à l'occasion d'un stage d'observation professionnelle, qui sont susceptibles d’être influencées par des éléments subjectifs liés au comportement de l'assuré pendant le stage (arrêt du Tribunal fédéral 9C_87/2022 du 8 juillet 2022 consid. 6.2.1 et les références).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(arrêts du Tribunal fédéral 9C_1035/2009 du 22 juin 2010 consid. 4.1, in SVR 2011 IV n. 6 p. 17 ; 9C_833/2007 du 4 juillet 2008, in Plädoyer 2009/1 p. 70 ; I 35/03 du 24 octobre 2003 consid. 4.3 et les références, in Plädoyer 2004/3 p. 64 ; 9C_512/2013 du 16 janvier 2014 consid. 5.2.1).</w:t>
      </w:r>
    </w:p>
    <w:p>
      <w:r>
        <w:rPr>
          <w:b/>
        </w:rPr>
        <w:t>E. 3.5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t>A/1434/2024 - 15/18 -</w:t>
      </w:r>
    </w:p>
    <w:p>
      <w:r>
        <w:rPr>
          <w:b/>
        </w:rPr>
        <w:t>E. 3.6</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3.7</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w:t>
      </w:r>
    </w:p>
    <w:p>
      <w:r>
        <w:rPr>
          <w:b/>
        </w:rPr>
        <w:t>E. 4</w:t>
      </w:r>
    </w:p>
    <w:p>
      <w:r>
        <w:t>En l’occurrence, la chambre de céans a estimé qu’une expertise rhumatologique judiciaire était nécessaire. Fondé sur toutes les pièces du dossier, comprenant une anamnèse complète, un examen clinique, posant des diagnostics et limitations fonctionnelles clairs et évaluant de façon convaincante la capacité de travail du recourant, le rapport d’expertise du Dr R______ répond aux réquisits jurisprudentiels précités pour</w:t>
      </w:r>
    </w:p>
    <w:p>
      <w:r>
        <w:t>A/1434/2024 - 16/18 - qu’il lui soit reconnu une pleine valeur probante. L’expert conclut à une capacité de travail nulle dans l’activité de maçon depuis juin 2017 et de 100% dans une activité adaptée dès avril 2019.</w:t>
      </w:r>
    </w:p>
    <w:p>
      <w:r>
        <w:rPr>
          <w:b/>
        </w:rPr>
        <w:t>E. 4.1</w:t>
      </w:r>
    </w:p>
    <w:p>
      <w:r>
        <w:t>L’intimé estime que le rapport d’expertise judiciaire peut être suivi. Le recourant le conteste, dans la mesure où il retient une capacité de travail totale dans une activité adaptée aux limitations fonctionnelles, sans diminution de rendement, tout en reconnaissant la présence de douleurs chroniques.</w:t>
      </w:r>
    </w:p>
    <w:p>
      <w:r>
        <w:rPr>
          <w:b/>
        </w:rPr>
        <w:t>E. 4.1.1</w:t>
      </w:r>
    </w:p>
    <w:p>
      <w:r>
        <w:t>À cet égard, l’expert judiciaire a bien tenu compte des douleurs du recourant dans la détermination des limitations fonctionnelles, en se référant aux problèmes du rachis du recourant. Il considère que dans le cadre d’une activité respectueuse de ces limitations fonctionnelles, la capacité de travail est entière, soit une activité légère, sans port de charges de plus de 10 kg, de port de charges répété, sans activités prolongées avec le rachis lombaire en porte-à-faux, sans activités en flexion/extension répétées du rachis, soit une activité avec changement de position assis/debout et en marchant. Par ailleurs, il convient de relever que le tableau douloureux n’a pas été considéré comme entièrement objectivé par l’expert judiciaire, puisque celui-ci estime que les douleurs ne sont pas toutes expliquées sur le plan rhumatologique (rapport d’expertise judiciaire, p. 81). Ainsi, contrairement à l’avis du recourant, ses douleurs chroniques ont été prises en compte par l’expert judiciaire.</w:t>
      </w:r>
    </w:p>
    <w:p>
      <w:r>
        <w:rPr>
          <w:b/>
        </w:rPr>
        <w:t>E. 4.1.2</w:t>
      </w:r>
    </w:p>
    <w:p>
      <w:r>
        <w:t>Au demeurant, les conclusions de l’expert judiciaire peuvent être suivies, soit la reconnaissance d’une capacité de travail nulle du recourant comme maçon depuis juin 2017 et de 100% dans une activité adaptée aux limitations fonctionnelles depuis avril 2019.</w:t>
      </w:r>
    </w:p>
    <w:p>
      <w:r>
        <w:rPr>
          <w:b/>
        </w:rPr>
        <w:t>E. 4.2</w:t>
      </w:r>
    </w:p>
    <w:p>
      <w:r>
        <w:t>Le recourant requiert l’ordonnance d’une expertise psychiatrique. Fondé sur toutes les pièces du dossier, comprenant une anamnèse complète, la description des plaintes du recourant, des constatations cliniques, posant des diagnostics clairs et comprenant une évaluation convaincante de la capacité de travail du recourant, après analyse des indicateurs de gravité, le rapport d’expertise de la Dre M______ répond aux réquisits jurisprudentiels précités pour qu’il lui soit reconnu une pleine valeur probante. L’experte a retenu des diagnostics de dysthymie, trouble anxieux sans précision et majoration des symptômes physiques pour des raisons psychologiques, non incapacitants. Les avis de la Dre K______ sont insuffisants pour mettre en doute le rapport d’expertise. En effet, dans son rapport du 23 janvier 2025, la Dre K______ retient également des diagnostics de dysthymie et anxiété généralisée. Elle mentionne, en sus, que le recourant présente des troubles somatoformes mais sans indiquer s’ils sont incapacitants puisqu’elle estime ne pas être en mesure de se prononcer sur la capacité de travail du recourant. Elle se déclare en partie d’accord avec</w:t>
      </w:r>
    </w:p>
    <w:p>
      <w:r>
        <w:t>A/1434/2024 - 17/18 - l’expertise de la Dre M______ mais n’a pas exposé les éventuels points de divergence entre son avis et l’expertise de la Dre M______. L’expertise judiciaire rhumatologique relève que le recourant pourrait présenter un trouble de perception et de l’élaboration de la douleur, dans le contexte d’une éventuelle affection psychiatrique associée (rapport d’expertise judiciaire, p. 77), avec une tendance au catastrophisme, qui pourraient être à l’origine de la fatigue chronique, des douleurs et de l’étendue des plaintes non expliquées sur le plan rhumatologique (rapport d’expertise judiciaire, p. 81). Il évoque une éventuelle algophobie et kinésiophobie pouvant expliquer l’impossibilité d’effectuer un programme de réhabilitation (expertise, p. 82). Enfin, l’expert judiciaire estime qu’un nouveau bilan psychiatrique semblerait nécessaire pour faire le point de la situation (rapport d’expertise judiciaire, p. 92), sans toutefois motiver cette proposition. L’examen clinique rhumatologique du recourant a eu lieu le 9 juillet 2025, soit trois ans après le séjour de celui-ci à la CRR (du 16 au 17 août 2022). Cependant, comme relevé par le SMR dans son avis du 17 décembre 2025, le Dr R______ ne fait pas état d’une aggravation de l’état de santé psychiatrique du recourant depuis son évaluation par la Dre M______ à la CRR et le Dr R______ ne fait pas valoir des éléments qui permettent de douter de la valeur probante de l’évaluation psychiatrique de la CRR. Au demeurant, les conclusions de l’expertise de la Dre M______ peuvent être suivies. Le recourant est ainsi reconnu capable de travailler à un taux de 100% dès avril 2019 dans une activité adaptée à ses limitations. La comparaison des revenus opérée par l’intimé aboutit à un degré d’invalidité de 5%, lequel n’est pas contesté. Ce degré est insuffisant pour ouvrir le droit à une rente d’invalidité.</w:t>
      </w:r>
    </w:p>
    <w:p>
      <w:r>
        <w:rPr>
          <w:b/>
        </w:rPr>
        <w:t>E. 5</w:t>
      </w:r>
    </w:p>
    <w:p>
      <w:r>
        <w:t>Partant, le recours ne peut qu’être rejeté. Au vu du sort du recours, il y a lieu de condamner le recourant au paiement d'un émolument de CHF 200.- (art. 69 al. 1bis LAI).</w:t>
      </w:r>
    </w:p>
    <w:p>
      <w:r>
        <w:t>A/1434/2024 - 18/18 -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