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ATAS/14/2023 vom 19. Januar 2023</w:t>
      </w:r>
    </w:p>
    <w:p>
      <w:r>
        <w:t>GE Cour de justice, 2023-01-19, FR</w:t>
      </w:r>
    </w:p>
    <w:p>
      <w:r>
        <w:rPr>
          <w:b/>
        </w:rPr>
        <w:t xml:space="preserve">Quelle: </w:t>
      </w:r>
      <w:r>
        <w:t>https://mcp.opencaselaw.ch/entscheid/ge_gerichte_ATAS_14_2023</w:t>
      </w:r>
    </w:p>
    <w:p>
      <w:r>
        <w:t>FR: GE_GERICHTE ATAS/14/2023 du 19 janvier 2023</w:t>
      </w:r>
    </w:p>
    <w:p>
      <w:r>
        <w:t>IT: GE_GERICHTE ATAS/14/2023 del 19 gennaio 2023</w:t>
      </w:r>
    </w:p>
    <w:p>
      <w:pPr>
        <w:pStyle w:val="Heading2"/>
      </w:pPr>
      <w:r>
        <w:t>Erwägungen</w:t>
      </w:r>
    </w:p>
    <w:p>
      <w:r>
        <w:rPr>
          <w:b/>
        </w:rPr>
        <w:t>E. 1</w:t>
      </w:r>
    </w:p>
    <w:p>
      <w:r>
        <w:t>La Cour de céans a examiné sa compétence et la recevabilité du recours dans son arrêt ATAS/1115/2021, de sorte qu’il y a lieu d’y renvoyer.</w:t>
      </w:r>
    </w:p>
    <w:p>
      <w:r>
        <w:rPr>
          <w:b/>
        </w:rPr>
        <w:t>E. 2</w:t>
      </w:r>
    </w:p>
    <w:p>
      <w:r>
        <w:t>La modification du 25 septembre 2015 de la loi fédérale sur l'assurance-accidents du 20 mars 1981 (LAA - RS 832.20), apportant notamment des modifications à l’art. 6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donc citées ci-après dans leur teneur en vigueur depuis le 1er janvier 2017.</w:t>
      </w:r>
    </w:p>
    <w:p>
      <w:r>
        <w:rPr>
          <w:b/>
        </w:rPr>
        <w:t>E. 3</w:t>
      </w:r>
    </w:p>
    <w:p>
      <w:r>
        <w:t>Comme cela ressort de l’ordonnance d’expertise, le litige porte sur le point de savoir si l’intimée doit prendre en charge l’opération du 13 mars 2018, singulièrement s’il existe un rapport de causalité naturelle entre les troubles à l’épaule droite ayant justifié l’intervention et la chute survenue le 26 mars 2017.</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de la loi fédérale sur la partie générale du droit des assurances sociales du</w:t>
      </w:r>
    </w:p>
    <w:p>
      <w:r>
        <w:rPr>
          <w:b/>
        </w:rPr>
        <w:t>E. 4.2</w:t>
      </w:r>
    </w:p>
    <w:p>
      <w:r>
        <w:t>L’assurance-accidents est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de tous les facteurs en cause, à l’usure ou à une maladie (ATF 146 V 51 consid. 8.2.2).</w:t>
      </w:r>
    </w:p>
    <w:p>
      <w:r>
        <w:rPr>
          <w:b/>
        </w:rPr>
        <w:t>E. 4.3</w:t>
      </w:r>
    </w:p>
    <w:p>
      <w:r>
        <w:t>Dans l’ATF 146 V 51,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 représente plus la cause naturelle et adéquate de l’atteinte, en d’autres termes, jusqu’à ce que l’atteinte à la santé repose uniquement sur des causes étrangères à l’accident ou encore, jusqu’à ce que le statu quo ante vel sine soit atteint (consid. 5.1, 8.5 et 9.1) ;  dans la négative, l’assureur doit examiner une prise en charge sous l’angle de l’art. 6 al. 2 LAA ; d’emblée, il y a présomption de la responsabilité de l’assureur-accidents pour les suites d’une de ces lésions, à moins qu’il ne démontre que celle-ci est due de manière prépondérante – donc à plus de 50% (consid. 8.2.2.1 et 8.6) – à l’usure ou à une maladie (consid. 8.2.2.2 concernant les notions d’usure et de maladie ; consid. 9.1 pour le surplus) ; ce n’est qu’alors que l’obligation de prester de l’assurance-accidents prend fin (voir Jenny CASTELLA, op. cit., p. 35).</w:t>
      </w:r>
    </w:p>
    <w:p>
      <w:r>
        <w:rPr>
          <w:b/>
        </w:rPr>
        <w:t>E. 4.4</w:t>
      </w:r>
    </w:p>
    <w:p>
      <w:r>
        <w:t>Il découle de ce qui précède qu’en présence d’une lésion apparaissant sur la liste de la disposition précitée, il convient d’examiner si l’atteinte peut être rattachée à la notion ordinaire d’accident. Dans l’affirmative, l’assuré bénéficie de l’application de l’art. 36 al. 1 LAA. L’assureur ne peut donc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w:t>
      </w:r>
    </w:p>
    <w:p>
      <w:r>
        <w:t>A/629/2019 - 8/19 -</w:t>
      </w:r>
    </w:p>
    <w:p>
      <w:r>
        <w:rPr>
          <w:b/>
        </w:rPr>
        <w:t>E. 4.5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5.</w:t>
      </w:r>
    </w:p>
    <w:p>
      <w:r>
        <w:t>5.1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5.2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w:t>
      </w:r>
    </w:p>
    <w:p>
      <w:r>
        <w:t>A/629/2019 - 9/19 - connaissance du dossier (anamnèse), que la description des interférences médicales soit claire et enfin que les conclusions de l'expert soient bien motivées (ATF 134 V 231 consid. 5.1 ; 133 V 450 consid. 11.1.3 ; 125 V 351 consid. 3). 5.3 Sans remettre en cause le principe de la libre appréciation des preuves, le Tribunal fédéral des assurances a posé des lignes directrices en ce qui concerne la manière d'apprécier certains types d'expertises ou de rapports médicaux (ATF 125 V 351 consid. 3b). 5.3.1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5.3.2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6.</w:t>
      </w:r>
    </w:p>
    <w:p>
      <w:r>
        <w:rPr>
          <w:b/>
        </w:rPr>
        <w:t>E. 6</w:t>
      </w:r>
    </w:p>
    <w:p>
      <w:r>
        <w:t>octobre 2000 (LPGA - RS 830.1) ; ATF 129 V 402 consid. 2.1, ATF 122 V 230 consid. 1 et les références). 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(voir notamment ATF 123 V 43 consid. 2b). La lésion de la coiffe des rotateurs, plus particulièrement la rupture de plusieurs tendons, figure dans la liste de l'art. 6 al. 2 let. f LAA dans sa teneur en vigueur depuis le 1er janvier 2017 (ATF 146 V 51 consid. 7.3 ; 123 V 43 ; arrêts du</w:t>
      </w:r>
    </w:p>
    <w:p>
      <w:r>
        <w:t>A/629/2019 - 7/19 - Tribunal fédéral 8C_412/2019 du 9 juillet 2020 consid. 5.1 ; 8C_169/2019 du</w:t>
      </w:r>
    </w:p>
    <w:p>
      <w:r>
        <w:rPr>
          <w:b/>
        </w:rPr>
        <w:t>E. 6.1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w:t>
      </w:r>
    </w:p>
    <w:p>
      <w:r>
        <w:t>A/629/2019 - 10/19 -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7.</w:t>
      </w:r>
    </w:p>
    <w:p>
      <w:r>
        <w:t>7.1 En l'espèce, la recourante a chuté dans les escaliers le 26 mars 2017. Suite à cette chute, la recourante a souffert de douleurs à l’épaule. Une échographie effectuée le 22 avril 2017, soit près d’un mois après la chute, a montré un remaniement du tendon du muscle supra-épineux, probablement en partie préexistant au traumatisme, sans brèche large visible, et l’existence d’une fissuration a été discutée. Par ailleurs, un épanchement liquidien dans la bourse sous-acromio-deltoïdienne et le long du biceps – qui est en place dans la gouttière bicipitale – a également été discuté. Aucune macro-calcification dense n’était visible.</w:t>
      </w:r>
    </w:p>
    <w:p>
      <w:r>
        <w:t>A/629/2019 - 11/19 - L'IRM du 17 janvier 2018 a, quant à elle, objectivé – entre autres – une rupture transfixiante complète du tendon sus-épineux avec rétraction tendineuse au sommet de la tête humérale et une lésion partielle subtotale de la partie distale et supérieure du tendon subscapulaire avec une subluxation médiale du long chef du biceps lequel présentait un aspect de tendinopathie fissuraire au niveau de sa partie intracapsulaire. Une fissuration du labrum supérieur ainsi qu’une infiltration de stade I selon Goutalier des muscles supra-épineux et subscapulaires ont également été constatées. Le 13 mars 2018, suite à cette IRM, la recourante a subi une arthroscopie de l’épaule droite, avec réinsertion du sus-épineux, réinsertion du subscapulaire, ténodèse du long chef du biceps et acromioplastie, intervention que l’intimée refuse de prendre en charge faute de lien de causalité naturelle. Il convient d’examiner la valeur probante du rapport du Dr J______, expert judiciaire. 7.2 Ledit rapport remplit sur le plan formel toutes les exigences auxquelles la jurisprudence soumet la valeur probante d’un tel document. Il contient une anamnèse détaillée, le résumé des pièces principales du dossier, les indications subjectives de la recourante, des observations cliniques, ainsi qu'une discussion générale du cas. Les conclusions de l’expert, qui résultent d'une analyse complète de la situation médicale, sont claires et bien motivées. 7.2.1 Avant d’aborder le fond, la Cour de céans relèvera que, dans la mesure où l’atteinte à l’épaule droite a été ressentie consécutivement à une chute qui doit être qualifiée d’accident, la cause doit être examinée exclusivement sous l’angle de l’art. 6 al. 1 LAA. Dans ce contexte, la recourante bénéficie de l’application de l’art. 36 al. 1 LAA et l’intimée ne peut se libérer de son obligation de prester que si elle démontre que l’atteinte à la santé est exclusivement due à la maladie. L’intimée ne peut donc refuser de prendre en charge l’intervention en question que si elle est en mesure de rendre vraisemblable que le statu quo ante vel sine a été atteint avant la date d’opération. En d’autres termes, l’intimée ne doit pas prendre en charge l’intervention chirurgicale si, avant la date d’opération, l'état de santé de la recourante était similaire à celui existant immédiatement avant l'accident (statu quo ante) ou à celui qui existerait même sans l'accident par suite d'un développement ordinaire (statu quo sine). 7.2.2 Le Dr J______ a retenu deux groupes de diagnostics, en fonction de la date à laquelle ils peuvent être posés. Ainsi, en date du 22 avril 2017 (première échographie), il a notamment évoqué les diagnostics de contusion et hématome de la fesse gauche (26 mars 2017), distorsion de l’épaule droite (26 mars 2017) et remaniement du tendon du sus-épineux probablement en partie préexistante, sans brèche large, avec discussion d’une fissuration. À titre de diagnostics finaux, il a retenu ceux de contusion et hématome de la fesse gauche (26 mars 2017), distorsion de l’épaule droite (26 mars 2017), conflit sous-acromial, arthrose de</w:t>
      </w:r>
    </w:p>
    <w:p>
      <w:r>
        <w:t>A/629/2019 - 12/19 - l’articulation acromio-claviculaire, rupture antéro-supérieure de la coiffe de l’épaule droite avec rupture complète (transfixiante) du tendon du sus-épineux avec rétractation au sommet de la tête humérale, lésion partielle supérieure du tendon du subscapulaire, subluxation du long chef du biceps avec aspect de tendinopathie fissuraire et status après reconstruction de la coiffe des rotateurs, acromioplastie et ténodèse du long chef du biceps (15 mars 2018). Le Dr J______ a ensuite expliqué qu’une rupture de la coiffe des rotateurs peut survenir, soit à la suite d’une force extérieure violente (traumatique), soit spontanément, à la suite d’un processus dégénératif.  Pour déterminer si la rupture, dans le cas d’espèce, était d’origine traumatique ou dégénérative, l’expert a examiné plusieurs paramètres : tout d’abord, il a décrit le mécanisme lésionnel et considéré qu’une chute dans l’escalier, sur la fesse gauche, avec retenue à la rampe d’escalier de la main droite, n’était pas en mesure de déchirer un tendon sain.  Il a ensuite expliqué que l’âge de la recourante revêt une importance décisive, puisqu’il reflète le degré de processus physiologique du vieillissement et de la diminution de la résistance des tendons. Il a ensuite rappelé que 10% environ de la population souffre de douleurs à l’épaule durant sa vie et que 50% des ruptures s’agrandissent. À partir de 60 ans, une rupture s’élargit particulièrement vite.  Les facteurs intrinsèques, tels que l’existence d’un rétrécissement constitutionnel (comme un acromion proéminent) ou acquis (suite à une arthrose de l’articulation acromio-claviculaire) de l’espace sous-acromial sont également déterminants. Dans un tel cas, les tendons glissant en-dessous sont endommagés de manière chronique, ce qui peut conduire à une lésion antéro-supérieure, comme dans le cas présent.  Les facteurs extrinsèques, tels qu’une surcharge professionnelle ou sportive importante de l’épaule due à des microtraumatismes répétés sur une longue période, peuvent également favoriser une lésion tendineuse.  Le Dr J______ a en outre expliqué, s’agissant des symptômes au moment de la blessure et au fil du temps, qu’en présence d’une rupture traumatique, le patient souffre de douleurs intenses, souvent accompagnées d’une perte totale de la fonction de l’épaule (pseudo-paralysie) pendant une période limitée. En revanche, en présence d’une extension aiguë ou décompensation d’une lésion dégénérative préexistante, il n’y a souvent pas de limitation fonctionnelle initiale importante. Dans le cas de la recourante, les douleurs après la chute ont été supportables, puisqu’elle a pu travailler le lendemain. Aucun examen complémentaire n’a été effectué et il n’y a pas eu de suivi. L’arrêt de travail délivré n’était que de</w:t>
      </w:r>
    </w:p>
    <w:p>
      <w:r>
        <w:t>A/629/2019 - 13/19 - 4 jours. La recourante a renoncé à l’IRM proposée. Pour l’expert, ces éléments permettent de conclure que la souffrance n’était pas excessive.  Les résultats des examens d’imagerie sont également pertinents, dès lors qu’ils permettent de détecter a posteriori et de manière fiable, des modifications dégénératives préexistantes à l’événement. Le Dr J______ a donc comparé les modifications morphologiques visibles sur l’échographie du 22 avril 2017 et celles constatées sur l’IRM du 17 janvier 2018 :</w:t>
      </w:r>
    </w:p>
    <w:p>
      <w:r>
        <w:t>échographie (22.04.17) IRM (17.01.18) tendon du supra-épineux (SE) remaniement du tendon, fissuration, tendinopathie préexistante, sans brèche visible (pas de rupture évidente) rupture complète, étendue dans toute sa largeur, avec rétractation jusqu’au sommet de la tête long chef du biceps (LCB) tendon intact, en position anatomique mais avec un épanchement péri- tendineux important tendon subluxé, épaissi, fissuré subscapulaire (SSC) lésion partielle proche de l’articulation extension de la lésion jusqu’à niveau sous- fascial Comparant l’échographie d’avril 2017 et l’IRM de janvier 2018, le Dr J______ a considéré que les modifications dégénératives avaient donc rapidement progressé.  Enfin, pour l’expert, vu l’acromioplastie effectuée en plus de la suture du tendon, il doit être considéré que, pour le Dr C______, le conflit sous-acromial constituait la cause principale de l’apparition du problème à l’épaule. L’expert a encore relevé que la première échographie ne montrait pas de rupture claire de la coiffe. En effet, le tendon du muscle sus-épineux présentait un remaniement en partie préexistant au traumatisme sans une brèche large et une fissuration était seulement discutée. Par ailleurs, les examens d’imagerie ont clairement montré la présence d’un conflit sous-acromial (arthrose acromio-claviculaire, sclérose du trochiter, forme de l’acromion, ligament coraco-acromial) et la présence de modifications dégénératives préexistantes (tendinopathie fissuraire, bursite sous-acromial). Au vu de ces différents éléments, le Dr J______ est d’avis que l’accident n’a fait que décompenser un état maladif préexistant. Le statu quo sine, soit le moment où l’état de santé de la recourante a été similaire à celui qui serait survenu tôt ou tard,</w:t>
      </w:r>
    </w:p>
    <w:p>
      <w:r>
        <w:t>A/629/2019 - 14/19 - même sans accident, par la suite d’un développement ordinaire, a été atteint à la suite de la deuxième infiltration, le 16 août 2017. La réapparition ultérieure des douleurs et l’aggravation y consécutive sont dues à une progression des modifications dégénératives préexistantes et le statut quo ante (soit le moment où l’état de santé de la recourante a été similaire à celui existant immédiatement avant l’accident) a été atteint 4 mois après l’intervention chirurgicale du</w:t>
      </w:r>
    </w:p>
    <w:p>
      <w:r>
        <w:rPr>
          <w:b/>
        </w:rPr>
        <w:t>E. 10</w:t>
      </w:r>
    </w:p>
    <w:p>
      <w:r>
        <w:t>mars 2020 consid. 5.1).</w:t>
      </w:r>
    </w:p>
    <w:p>
      <w:r>
        <w:rPr>
          <w:b/>
        </w:rPr>
        <w:t>E. 15</w:t>
      </w:r>
    </w:p>
    <w:p>
      <w:r>
        <w:t>janvier 2018, ce qui constitue un élément supplémentaire pour considérer qu’aucune déchirure ne pouvait être décelée en avril 2017. 7.3.6 Dans son rapport du 31 octobre 2022, le Dr C______ critique enfin le point de vue du Dr J______, selon lequel une acromioplastie peut être considérée comme indicative d’un conflit sous-acromial à l’origine de la pathologie. Pour le Dr C______, une acromioplastie est effectuée d’office lors d’une chirurgie, afin de limiter le risque d’une nouvelle lésion. Ce médecin en conclut qu’il n’y a pas de lien avec le diagnostic de conflit sous-acromial. Si, par principe, l’opérateur précité procède à une acromioplastie, il n’en demeure pas moins que, dans le cas de la recourante, un conflit sous-acromial a été évoqué à plusieurs reprises (cf. échographie de l’épaule droite du 31 mai 2017 et compte rendu opératoire du 15 mars 2018 dans lequel un conflit antéro-externe est mentionné). Or, le conflit sous-acromial résulte de la compression des tendons de la coiffe des rotateurs et de la bourse sous-acromiale entre la grande tubérosité et le bord latéral de l’acromion et la déchirure tendineuse peut notamment être la conséquence finale d’un conflit sous-acromial (cf. Elise WAGNER, Daniel ARDITI, Pierre-André GUERNE et Cédric LANIER, Épaule douloureuse atraumatique : diagnostic radiologique, in revue médicale suisse n° 399). Vu le contexte, la conclusion du Dr J______ n’est pas contestable et, même si le Dr C______ allègue procéder par principe à une acromioplastie pour éviter une</w:t>
      </w:r>
    </w:p>
    <w:p>
      <w:r>
        <w:t>A/629/2019 - 18/19 - nouvelle lésion, cela laisse tout de même sous-entendre un risque au niveau de l’acromion et donc une atteinte à ce niveau-là. 7.3.7 Force est ainsi de constater, au vu de ce qui précède, que l’expert a pris sa décision sur la base de plusieurs éléments convergents : le mécanisme lésionnel (chute dans les escaliers en premier lieu sur le fesses), l’âge, les symptômes au moment de la blessure et leur évolution, l’examen clinique, les résultats de l’échographie d’avril 2017 et ceux de l’IRM de janvier 2018 et la réponse aux mesures thérapeutiques. C’est l’ensemble de ces éléments qui a conduit le Dr J______ à retenir une origine dégénérative à la rupture de la coiffe et non un élément isolé. Rien ne permet de s’écarter de ses conclusions. 8. Il ressort de ce qui précède que l’expertise du Dr J______ doit être considérée comme probante. Dans cette mesure, une nouvelle expertise ne saurait être ordonnée, étant précisé, dans ce contexte, que c’est la Cour de céans – et non la SUVA – qui a proposé le Dr J______ en qualité d’expert. Partant, les remarques de la recourante quant au fait que la SUVA aurait suggéré un expert dont les vues seraient plus conformes aux siennes et à ses intérêts est totalement hors de propos. Par ailleurs, par appréciation anticipée des preuves, la Cour de céans renoncera également à entendre l’expert. En effet, il ressort de ce qui précède que les critiques de la recourante ne remettent pas en question la valeur probante de l’expertise, de sorte que l’audition de son auteur s’avère superflue. 9. Au vu de ce qui précède, le recours du 15 février 2019 est rejeté. La recourante, qui succombe, n’a pas droit à des dépens. Par ailleurs, les assureurs sociaux qui obtiennent gain de cause devant une juridiction de première instance n'ont en principe pas le droit à une indemnité de dépens (ATF 126 V 149 consid. 4). Pour le surplus, la procédure est gratuite.</w:t>
      </w:r>
    </w:p>
    <w:p>
      <w:r>
        <w:t>A/629/2019 - 19/19 -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