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ATAS/14/2020 vom 14. Januar 2020</w:t>
      </w:r>
    </w:p>
    <w:p>
      <w:r>
        <w:t>GE Cour de justice, 2020-01-14, FR</w:t>
      </w:r>
    </w:p>
    <w:p>
      <w:r>
        <w:rPr>
          <w:b/>
        </w:rPr>
        <w:t xml:space="preserve">Quelle: </w:t>
      </w:r>
      <w:r>
        <w:t>https://mcp.opencaselaw.ch/entscheid/ge_gerichte_ATAS_14_2020</w:t>
      </w:r>
    </w:p>
    <w:p>
      <w:r>
        <w:t>FR: GE_GERICHTE ATAS/14/2020 du 14 janvier 2020</w:t>
      </w:r>
    </w:p>
    <w:p>
      <w:r>
        <w:t>IT: GE_GERICHTE ATAS/14/2020 del 14 gennaio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La décision querellée a été notifiée, comme cela ressort de la pièce produite par l’intimé, le 23</w:t>
      </w:r>
    </w:p>
    <w:p>
      <w:r>
        <w:t>A/63/2019 - 16/30 - novembre 2018. Interjeté dans la forme et le délai prévus par la loi, compte tenu de la suspension des délais pendant la période du 18 décembre au 2 janvier inclusivement (art. 38 al. 4 let. c LPGA et art. 89C let. c LPA), le recours du</w:t>
      </w:r>
    </w:p>
    <w:p>
      <w:r>
        <w:rPr>
          <w:b/>
        </w:rPr>
        <w:t>E. 3.2</w:t>
      </w:r>
    </w:p>
    <w:p>
      <w:r>
        <w:t>; arrêt du Tribunal fédéral 9C_754/2013 du 16 avril 2014 consid. 2.1).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A/63/2019 - 17/30 -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w:t>
      </w:r>
    </w:p>
    <w:p>
      <w:r>
        <w:t>A/63/2019 - 18/30 -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Les indicateurs standard qui doivent être pris en considération en règle générale peuvent être classés selon leurs caractéristiques communes : - Catégorie « Degré de gravité fonctionnel » (ATF 141 V 281 consid. 4.3),</w:t>
      </w:r>
    </w:p>
    <w:p>
      <w:r>
        <w:t>A. Complexe « Atteinte à la santé » (consid. 4.3.1)</w:t>
      </w:r>
    </w:p>
    <w:p>
      <w:r>
        <w:t>Expression des éléments pertinents pour le diagnostic (consid. 4.3.1.1), succès du traitement et de la réadaptation ou résistance à cet égard (consid. 4.3.1.2), comorbidités (consid. 4.3.1.3).</w:t>
      </w:r>
    </w:p>
    <w:p>
      <w:r>
        <w:t>B. Complexe « Personnalité » (diagnostic de la personnalité, ressources personnelles; consid. 4.3.2)</w:t>
      </w:r>
    </w:p>
    <w:p>
      <w:r>
        <w:t>A/63/2019 - 19/30 -</w:t>
      </w:r>
    </w:p>
    <w:p>
      <w:r>
        <w:t>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w:t>
      </w:r>
    </w:p>
    <w:p>
      <w:r>
        <w:t>A/63/2019 - 20/30 -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w:t>
      </w:r>
    </w:p>
    <w:p>
      <w:r>
        <w:t>A/63/2019 - 21/30 -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révélée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A/63/2019 - 22/30 -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Le fait qu'une expertise psychiatrique n'a pas été établie selon les nouveaux standards posés par l'ATF 141 V 281 -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w:t>
      </w:r>
    </w:p>
    <w:p>
      <w:r>
        <w:t>A/63/2019 - 23/30 - mettant en relation avec d'autres rapports médicaux - permettent ou non une appréciation concluante du cas à l'aune des indicateurs déterminants (arrêt du Tribunal fédéral 9C_797/2017 du du 22 mars 2018 consid. 4.2 et 4.3 ; ATAS/197/2019 du 11 mars 2019 consid. 8b).</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w:t>
      </w:r>
    </w:p>
    <w:p>
      <w:r>
        <w:t>A/63/2019 - 26/30 -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14</w:t>
      </w:r>
    </w:p>
    <w:p>
      <w:r>
        <w:t>Le recourant concluant dans un grief d’ordre formel à une violation de son droit d’être entendu, il convient d’examiner préalablement cette question. a. Le droit d'être entendu, tel qu'il est garanti par l'art. 29 al. 2 de la Constitution fédérale de la Confédération suisse du 18 avril 1999 (Cst. ;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 RS 0.101) confère à l'égard des autorités judiciaires proprement dites. En tant que garantie générale de procédure, le droit d’être entendu permet au justiciable de consulter le dossier avant le prononcé d’une décision.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 ATF 122 I 112 consid. 2b et les arrêts cités ; cf. ATF 115 V 302 consid. 2e). Le Tribunal fédéral a jugé que le refus d’un office de l’assurance-invalidité de communiquer une copie d’un rapport d’expertise d’un Centre d’observation médicale de l’assurance-invalidité (COMAI) à un assuré non représenté par un avocat, assorti d’une autorisation de consulter le dossier au siège de l’autorité, n’est pas compatible avec la jurisprudence relative à la communication des données personnelles dans le domaine des assurances sociales (ATF 127 V 223 consid. 1b et ATF 125 II 323 consid. 3b). b. En l’espèce, le recourant invoque l’absence, dans le dossier, d’un avis du SMR du 25 juin 2017. L’intimé a expliqué que sa communication interne datée du</w:t>
      </w:r>
    </w:p>
    <w:p>
      <w:r>
        <w:rPr>
          <w:b/>
        </w:rPr>
        <w:t>E. 15</w:t>
      </w:r>
    </w:p>
    <w:p>
      <w:r>
        <w:t>Il convient à présent d’examiner le fond du litige. a. En l’espèce, l’intimé se fonde sur les deux derniers avis du SMR, lesquels sont eux-mêmes principalement basés sur l’expertise bidisciplinaire effectuée en août 2018, pour nier le droit du recourant à une rente d'invalidité. Ladite expertise (psychiatrique et rhumatologique) conclut à une capacité de travail entière du recourant dans toute activité, y compris son ancien travail. Le SMR s’en écarte seulement dans la mesure où il estime que sa capacité de travail n’est entière que dans les activités respectant les limitations fonctionnelles d’épargne des membres inférieurs et du cou. L'expertise du SMEX se fonde sur l’étude approfondie du dossier médical du recourant, ainsi que sur des examens cliniques complets. Le rapport contient une anamnèse détaillée et les plaintes de l'expertisé. L’appréciation de la situation médicale est claire et chaque spécialiste a exposé ses constatations et justifié son point de vue. Les experts se sont déterminés individuellement, puis en consilium, sur la capacité de travail et les limitations fonctionnelles. Sur le plan somatique, le rhumatologue a retenu que l’examen était normal ; aucun déficit n’était constaté. Il a notamment relevé que le recourant était incohérent, dans la mesure où il ne s’était aucunement plaint durant tout l’interrogatoire, qui avait duré 45 minutes, alors qu’il avait grimacé, lors de l’examen physique, à la moindre mobilisation du segment rachidien cervical ou lombaire, des genoux et des jambes, et même des poignets et membres supérieurs. Le recourant manifestait ainsi une forme d’autolimitation et d’exagération ou de simulation avérée ou ressentie.</w:t>
      </w:r>
    </w:p>
    <w:p>
      <w:r>
        <w:t>A/63/2019 - 28/30 - Sur le plan psychiatrique, l’expert n’a également retenu aucun diagnostic ayant une incidence sur la capacité de travail. Le seul diagnostic retenu, à savoir le syndrome douloureux somatoforme persistant, n’était pas incapacitant. b. Le recourant reproche à l’expertise de n’avoir pas pris en considération les indicateurs mentionnés dans l’ATF 141 V 281 pour considérer que les troubles somatoformes douloureux n’étaient pas incapacitants. Or, même si les examinateurs n'ont pas suivi la grille d'évaluation normative et structurée selon l'arrêt précité, leur examen, en le mettant en relation avec d'autres rapports médicaux ou éléments du dossier, permet néanmoins une appréciation de l'état de santé du recourant à la lumière des indicateurs déterminants (cf. arrêt du Tribunal fédéral 9C_797/2017 du 22 mars 2018 consid. 4.2 et 4.3 et les références). Les examinateurs ont fait état d'un syndrome douloureux somatoforme persistant (F45.1) en fonction des éléments cliniques qu'ils ont mis en évidence. Selon la définition du CIM 10, dans le cadre d’un tel syndrome, «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 En l’espèce, le recourant se plaint de douleurs multiples au niveau de la nuque, des genoux, des bras et des poignets, malgré l’examen rhumatologique qui n’a mis en évidence aucune anomalie. Ce diagnostic avait déjà été retenu dans le passé, notamment dans le rapport du 2 juillet 2003 de la CRR et dans l’expertise diligentée le 23 novembre 2006 par le Dr H______. Le Dr N______, qui a examiné le recourant en mai 2019, est également parvenu à la même conclusion. S'agissant du « succès du traitement et de la réadaptation », le recourant n’est plus suivi par un psychiatre depuis 2016 (étant précisé que son suivi avait alors duré un peu moins de deux ans) et ne prend aucun traitement médicamenteux autre que des antidouleurs prescrits par son médecin généraliste traitant. On ne peut donc considérer qu’il y aurait un éventuel échec de thérapie. Quant à l'indicateur de la « comorbidité », l’expert psychiatre n’a retenu aucune comorbidité psychiatrique incapacitante. Lors de son audition, le médecin traitant du recourant, qui n’est pas psychiatre, a mentionné un état dépressif léger à moyen, tout en confirmant qu’il n’y avait à son avis pas de comorbidité psychiatrique incapacitante. En ce qui concerne le complexe de la « personnalité », aucun des médecins s’étant prononcé sur le cas du recourant n’a retenu de trouble de la personnalité. Pour ce qui est du « contexte social », le recourant vit entouré de sa famille. Il maintient des relations proches, outre le cercle familial restreint (composé de son</w:t>
      </w:r>
    </w:p>
    <w:p>
      <w:r>
        <w:t>A/63/2019 - 29/30 - épouse et de leurs cinq enfants), avec ses frères habitant à Genève, qu’il voit régulièrement. Le diagnostic retenu n'a donc pas une incidence négative sur le fonctionnement du recourant, en particulier sur les relations interpersonnelles. En ce qui concerne la catégorie « cohérence », l'atteinte à la santé n’empêche pas le recourant de prendre soin de ses jumeaux le matin, lorsque son épouse emmène les aînés à l’école. S’il indique passer apparemment le reste de sa journée à faire des allers-retours entre son lit et la télévision (son épouse assumant majoritairement l’entretien du foyer), il a mentionné qu’il se déplaçait en tram, métro et bus à Genève, et de temps en temps en voiture. Il est par ailleurs probable, au vu de la forme d’exagération mentionnée dans l’expertise, que le recourant s’autolimite à cet égard. En définitive, compte tenu des indicateurs pertinents, il n'y a pas lieu de s'écarter des conclusions des experts mandatés par l’intimé, selon lesquels le caractère invalidant du syndrome douloureux somatoforme persistant retenu doit être nié. Celui-ci ne présente pas un degré de gravité suffisant d'un point de vue juridique. Cette conclusion s’impose d’autant plus que le médecin traitant du recourant, qui avait appuyé la nouvelle demande en 2016, a nuancé son avis lors de son audition par la chambre de céans, se référant à cet égard à l’expertise bidisciplinaire figurant au dossier, ainsi qu’à l’avis du Dr N______, consulté en mai 2019, qui avait retenu le même diagnostic que les experts. Par ailleurs, le recourant n’allègue pas de fait pertinent qui n’aurait pas été pris en compte par l’expert psychiatre, ni n’a produit de rapport d’un autre médecin psychiatre remettant en cause les conclusions de l’expertise ou permettant de mettre en doute sa valeur probante. Par conséquent, c’est à juste titre que l’intimé a rejeté la demande du recourant, l’état de santé de ce dernier ne s’étant manifestement pas aggravé depuis la décision supprimant sa rente en 2008.</w:t>
      </w:r>
    </w:p>
    <w:p>
      <w:r>
        <w:rPr>
          <w:b/>
        </w:rPr>
        <w:t>E. 16</w:t>
      </w:r>
    </w:p>
    <w:p>
      <w:r>
        <w:t>Au vu de ce qui précède, le recours sera rejeté. Bien que la procédure ne soit pas gratuite en matière d'assurance-invalidité (art. 69 al. 1bis LAI), il convient de renoncer à la perception d'un émolument, le recourant étant au bénéfice de l'assistance juridique (art. 13 al. 1 du règlement sur les frais, émoluments et indemnités en procédure administrative du 30 juillet 1986 [RFPA - E 5 10.03]).</w:t>
      </w:r>
    </w:p>
    <w:p>
      <w:r>
        <w:t>A/63/2019 - 30/30 -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