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ATAS/14/2017 vom 17. Januar 2017</w:t>
      </w:r>
    </w:p>
    <w:p>
      <w:r>
        <w:t>GE Cour de justice, 2017-01-17, FR</w:t>
      </w:r>
    </w:p>
    <w:p>
      <w:r>
        <w:rPr>
          <w:b/>
        </w:rPr>
        <w:t xml:space="preserve">Quelle: </w:t>
      </w:r>
      <w:r>
        <w:t>https://mcp.opencaselaw.ch/entscheid/ge_gerichte_ATAS_14_2017</w:t>
      </w:r>
    </w:p>
    <w:p>
      <w:r>
        <w:t>FR: GE_GERICHTE ATAS/14/2017 du 17 janvier 2017</w:t>
      </w:r>
    </w:p>
    <w:p>
      <w:r>
        <w:t>IT: GE_GERICHTE ATAS/14/2017 del 17 gennaio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127 V 466 consid. 1 et les références). En ce qui concerne en revanche la procédure, et à défaut de règles transitoires contraires, le nouveau droit s’applique sans réserve dès le jour de son entrée en vigueur (ATF 117 V 71 consid. 6b ; 112 V 356 consid. 4a ; RAMA 1998 KV 37 p. 316 consid. 3b). En l’occurrence, la décision litigieuse est postérieure à l’entrée en vigueur des modifications de la LAI suscitées. Par conséquent, du point de vue matériel, le droit éventuel à des prestations d’invalidité doit être examiné au regard des modifications de la LAI consécutives aux 4ème, 5ème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w:t>
      </w:r>
    </w:p>
    <w:p>
      <w:r>
        <w:t>A/144/2016 - 9/21 - 11 juillet 2006 consid. 2.1 et Message concernant la modification de la loi fédérale sur l’assurance-invalidité du 22 juin 2005, FF 2005 p. 4322).</w:t>
      </w:r>
    </w:p>
    <w:p>
      <w:r>
        <w:rPr>
          <w:b/>
        </w:rPr>
        <w:t>E. 4</w:t>
      </w:r>
    </w:p>
    <w:p>
      <w:r>
        <w:t>Selon l’art. 60 LPGA, le recours doit être déposé dans les trente jours suivant la notification de la décision sujette à recours. L’art. 38 LPGA prévoit que si le délai, compté par jours ou par mois, doit être communiqué aux parties, il commence à courir le lendemain de la communication (al. 1). Les délais en jours ou en mois fixés par la loi ou par l’autorité ne courent pas du 18 décembre au 2 janvier inclusivement (al. 4 let. c). En l’espèce, la décision du 19 novembre 2015 a été reçue le 30 novembre 2015. Compte tenu de la suspension du délai de recours durant la période précitée, le recours, interjeté le 14 janvier 2016 dans la forme prescrite, est recevable (art. 56ss LPGA ; art. 89B de la loi sur la procédure administrative du 12 septembre 1985 [LPA- RS/GE E 5 10]).</w:t>
      </w:r>
    </w:p>
    <w:p>
      <w:r>
        <w:rPr>
          <w:b/>
        </w:rPr>
        <w:t>E. 5</w:t>
      </w:r>
    </w:p>
    <w:p>
      <w:r>
        <w:t>Le litige porte sur le droit de la recourante à des prestations de la part de l’intimé, en particulier l’octroi d’une rente d’invalidité.</w:t>
      </w:r>
    </w:p>
    <w:p>
      <w:r>
        <w:rPr>
          <w:b/>
        </w:rPr>
        <w:t>E. 6</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t>A/144/2016 - 10/21 -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w:t>
      </w:r>
    </w:p>
    <w:p>
      <w:r>
        <w:t>A/144/2016 - 11/21 -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11</w:t>
      </w:r>
    </w:p>
    <w:p>
      <w:r>
        <w:t>Enfin,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w:t>
      </w:r>
    </w:p>
    <w:p>
      <w:r>
        <w:t>A/144/2016 - 12/21 -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12</w:t>
      </w:r>
    </w:p>
    <w:p>
      <w:r>
        <w:t>En l’espèce, la recourante conteste être en mesure de travailler à temps complet et produit de nouveaux rapports de ses médecins-traitants, postérieurs à la décision attaquée.</w:t>
      </w:r>
    </w:p>
    <w:p>
      <w:r>
        <w:rPr>
          <w:b/>
        </w:rPr>
        <w:t>E. 13</w:t>
      </w:r>
    </w:p>
    <w:p>
      <w:r>
        <w:t>À titre préalable, il convient de relever que les rapports de la Dresse M______ du 1er mars 2016, de la Dresse I______ du 4 mars 2016, du Dr B______ du 8 mars 2016 et du Dr J______ du 30 mars 2016 se rapportent aux atteintes à la santé préexistant à la décision litigieuse et qui ont fait l’objet de l’appréciation de la capacité de travail de la recourante, de sorte que ces documents doivent être pris en considération par la chambre de céans.</w:t>
      </w:r>
    </w:p>
    <w:p>
      <w:r>
        <w:rPr>
          <w:b/>
        </w:rPr>
        <w:t>E. 14</w:t>
      </w:r>
    </w:p>
    <w:p>
      <w:r>
        <w:t>a. S’agissant du membre supérieur gauche, la recourante souffre de séquelles d’une poliomyélite développée durant l’enfance. Suite à sa fracture de l’humérus proximal gauche le 29 août 2012, elle a présenté une paralysie totale du circonflexe entrainant une subluxation inférieure scapulohumérale, responsable de douleurs. Les examens réalisés ont révélé une atteinte diffuse de tout le membre supérieur gauche et une altération de la coiffe des rotateurs avec une infiltration graisseuse (rapport du Prof. C______ du 12 mars 2013). À neuf mois du sinistre, le Dr B______ a constaté une épaule paralytique et l’impossibilité pour la recourante d’utiliser son membre supérieur. Il a estimé que la capacité de travail était nulle dans l’activité habituelle, mais entière dans une activité adaptée ne comportant pas de travail avec les bras au-dessus de la tête, la montée sur une échelle ou un échafaudage, ainsi que le port de charges (rapport du 7 juin 2013). L’arthrodèse pratiquée le 10 mars 2015 n’a pas amélioré la mobilité, mais a eu un effet positif sur les douleurs. Si la recourante demeure lourdement handicapée, des progrès ont été constatés en octobre 2015 car elle parvenait alors à manger avec son bras gauche. Dans son dernier rapport, le Dr B______ a confirmé ses précédentes conclusions, à savoir que la recourante ne pouvait pas travailler avec son membre supérieur gauche. En revanche, il a estimé, contrairement à ce qu’il avait antérieurement retenu, qu’une activité adaptée ne pourrait être réalisée qu’à 50%, et ce afin de permettre à la recourante de ménager son membre supérieur droit et éviter des lésions. Tout port de lourdes charges ou à répétition était à proscrire (rapport du 8 mars 2016). À l’instar du Dr H______, la chambre de céans constate que la nouvelle appréciation du Dr B______ quant à la capacité de travail dans une activité adaptée n’est pas motivée par une aggravation de l’état de santé de la recourante. Au contraire, une légère amélioration a été constatée entre les rapports des 7 juin 2013 et 8 mars 2016 puisque l’intervention du 10 mars 2015 a eu un effet</w:t>
      </w:r>
    </w:p>
    <w:p>
      <w:r>
        <w:t>A/144/2016 - 13/21 - positif sur les douleurs. Les nouvelles conclusions du Dr B______ visent uniquement à ménager le membre supérieur valide, lequel ne présente en soi aucune limitation fonctionnelle. De surcroît, les restrictions retenues à cet égard, à titre préventif uniquement, ne concernent que le port de charges lourdes et le port répétitif de charges, et n’empêchent donc pas la recourante, droitière, d’utiliser son bras dominant dans des activités légères ou fines. Elle a d’ailleurs été en mesure de débuter un stage à l’Espace solidaire F______ au printemps 2013 où elle était encore occupée en septembre 2013 à 50%, en charge de l’accueil et de l’information. On ne voit pas pour quelle raison cette activité adaptée à 50% n’aurait pas pu être exercée à 100%. Partant, la chambre de céans est d’avis que rien ne justifie de s’écarter des premières conclusions du Dr B______ et tient pour établi, au degré de la vraisemblance prépondérante requis, que les atteintes orthopédiques dont souffre la recourante ne sont pas incompatibles avec l’exercice à temps complet d’une activité professionnelle monomanuelle. b. Au niveau psychiatrique, la Dresse I______ a fait état de « tendances à l’alcool », de troubles du comportement alimentaire avec une opératique de by-pass gastrique et d’une importante labilité émotionnelle, troubles qui n’avaient aucune répercussion sur la capacité de travail. La recourante était abstinente depuis 2007, son poids était désormais stable et elle faisait appel au centre Phénix lorsque sa labilité émotionnelle le requérait. Une rechute au début de l’année 2013 avait nécessité un séjour à la Maison E______ et le suivi mis en place, ainsi que le traitement médicamenteux, permettaient une poursuite ambulatoire (rapport du 9 septembre 2013). Dans son second rapport, la Dresse I______ a confirmé les diagnostics de trouble alimentaire, de personnalité émotionnellement labile et de troubles mentaux liés à la consommation de l’alcool, actuellement abstinente. Elle y a toutefois ajouté celui de trouble dépressif récurrent, sans préciser la date de sa survenance. Il n’est donc pas possible, en l’état, de déterminer si cette affection est antérieure à la décision litigieuse et peut ainsi être prise en considération, ou si elle lui est au contraire postérieure. Cela étant, cette question peut demeurer ouverte dès lors que la psychiatre traitant n’a retenu aucune limitation psychologique et indiqué que les capacités cognitives de la recourante étaient conservées, grâce au suivi du traitement. Elle a d’ailleurs indiqué que les douleurs et la limitation de mobilité au bras gauche étaient un facteur de risque de rechute de la dépression, ce qui permet d’en déduire que le trouble dépressif était alors en rémission. Selon la psychiatre, la capacité de travail de sa patiente, que ce soit dans l’activité habituelle ou dans une profession adaptée, devait être précisée par le spécialiste de l’épaule (rapport du 4 mars 2016). Ces rapports permettent donc de conclure que l’état de santé psychique de la recourante, laquelle fait l’objet d’un suivi adéquat et efficace, n’entrave en l’état pas sa capacité de travail.</w:t>
      </w:r>
    </w:p>
    <w:p>
      <w:r>
        <w:t>A/144/2016 - 14/21 - c. Sur le plan de la médecine interne, le Dr J______ a retenu dans son premier rapport que les seuls diagnostics ayant une influence sur la capacité de travail étaient ceux liés aux atteintes du membre supérieur gauche. Il a indiqué que la recourante était asthmatique depuis l’âge de 7 ans, sans que cet état n’influence sa capacité de travail. Ce médecin a retenu les mêmes symptômes et les mêmes limitations fonctionnelles que le Dr B______, à savoir des douleurs et une impotence du membre supérieur gauche, et l’interdiction de porter des charges, de travailler avec les bras au-dessus de la tête et de monter sur des échelles ou échafaudages (rapport du 20 septembre 2013). Dans son dernier rapport, le Dr J______ a précisé que la recourante souffrait d’asthme allergique avec des épisodes d’exacerbations suite aux bronchites infectieuses. Elle devait pouvoir être soignée rapidement le cas échéant et l’intensité du traitement était variable, sans qu’un traitement continuel ne soit nécessaire. Si la recourante était sensible aux effets de son environnement, tels que les odeurs, la poussière ou la fumée, elle pouvait néanmoins travailler dans un environnement « propre ». Le Dr J______ a confirmé que le handicap majeur était l’incapacité fonctionnelle du membre supérieur gauche (rapport du 30 mars 2016). Dans ces conditions, il y a lieu de conclure que l’asthme dont souffre la recourante n’entraine pas d’incapacité de travail dans un milieu qui ne soit pas exposé à la fumée, à des odeurs ou à la poussière. d. Au niveau cardiaque, la Dresse M______ a expressément exclu toute pathologie significative et relevé que la recourante ne nécessitait pas de traitement médical et ne justifiait pas de limitations de ses activités (rapport du 1er mars 2016). Ainsi, la recourante ne présente aucun trouble cardiaque qui devrait être pris en considération par l’intimé. e. Enfin, la recourante allègue, dans ses écritures des 13 janvier et 31 mars 2016, souffrir d’une hernie à l’estomac et d’une tendinite chronique à l’avant-bras droit. De telles affections ne sont toutefois confirmées par aucune pièce du dossier, en particulier ni par le rapport du médecin-traitant généraliste de la recourante, le Dr J______, ni par celui du spécialiste qui la suit régulièrement sur le plan orthopédique, le Dr B______. Quant au Dr K______, il n’a pas retourné à l’intimé le rapport médical sollicité, en dépit de plusieurs relances, ce dont la recourante a été informée.</w:t>
      </w:r>
    </w:p>
    <w:p>
      <w:r>
        <w:rPr>
          <w:b/>
        </w:rPr>
        <w:t>E. 15</w:t>
      </w:r>
    </w:p>
    <w:p>
      <w:r>
        <w:t>Eu égard à tout ce qui précède, il y a lieu de retenir, au degré de la vraisemblance prépondérante requis, que la recourante n’est limitée dans sa capacité de travail que par ses atteintes au membre supérieur gauche, membre qu’elle ne peut plus du tout utiliser dans l’exercice d’une activité professionnelle. En revanche, sa capacité de travail demeure entière dans une activité adaptée aux limitations fonctionnelles décrites par le Dr B______ dans son premier rapport, étant ajoutée la réserve liée à un environnement exempt de fumée, de poussière et d’odeurs.</w:t>
      </w:r>
    </w:p>
    <w:p>
      <w:r>
        <w:t>A/144/2016 - 15/21 -</w:t>
      </w:r>
    </w:p>
    <w:p>
      <w:r>
        <w:rPr>
          <w:b/>
        </w:rPr>
        <w:t>E. 16</w:t>
      </w:r>
    </w:p>
    <w:p>
      <w:r>
        <w:t>L’intimé était donc fondé à retenir que la capacité de travail médicalement exigible de la recourante est de 100% dans un travail adapté.</w:t>
      </w:r>
    </w:p>
    <w:p>
      <w:r>
        <w:rPr>
          <w:b/>
        </w:rPr>
        <w:t>E. 17</w:t>
      </w:r>
    </w:p>
    <w:p>
      <w:r>
        <w:t>Il convient à présent de fixer le degré d’invalidité de la recourante.</w:t>
      </w:r>
    </w:p>
    <w:p>
      <w:r>
        <w:rPr>
          <w:b/>
        </w:rPr>
        <w:t>E. 18</w:t>
      </w:r>
    </w:p>
    <w:p>
      <w:r>
        <w:t>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20</w:t>
      </w:r>
    </w:p>
    <w:p>
      <w:r>
        <w:t>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w:t>
      </w:r>
    </w:p>
    <w:p>
      <w:r>
        <w:t>A/144/2016 - 16/21 -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w:t>
      </w:r>
    </w:p>
    <w:p>
      <w:r>
        <w:rPr>
          <w:b/>
        </w:rPr>
        <w:t>E. 24</w:t>
      </w:r>
    </w:p>
    <w:p>
      <w:r>
        <w:t>Partant, c’est à juste titre que l’intimé a nié le droit de la recourante à une rente, son degré d’invalidité étant insuffisant.</w:t>
      </w:r>
    </w:p>
    <w:p>
      <w:r>
        <w:rPr>
          <w:b/>
        </w:rPr>
        <w:t>E. 25</w:t>
      </w:r>
    </w:p>
    <w:p>
      <w:r>
        <w:t>Reste à se prononcer sur le droit à une éventuelle mesure d’ordre professionnel.</w:t>
      </w:r>
    </w:p>
    <w:p>
      <w:r>
        <w:rPr>
          <w:b/>
        </w:rPr>
        <w:t>E. 26</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w:t>
      </w:r>
    </w:p>
    <w:p>
      <w:r>
        <w:t>A/144/2016 - 19/21 -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27</w:t>
      </w:r>
    </w:p>
    <w:p>
      <w:r>
        <w:t>En l’occurrence, la recourante ne peut certes plus travailler en qualité de serveuse. Cela étant, il y a lieu de considérer qu’un marché équilibré du travail offre un nombre significatif d’activités qui ne nécessitent pas l’utilisation des deux bras et qui sont accessibles sans aucune formation particulière. On peut à cet égard citer pour exemple des tâches simples de surveillance, d’accueil, de réception, de vérification ou de contrôle, pour lesquelles une simple mise au courant suffit. Des mesures de réadaptation ne sont ni nécessaires ni appropriées à la mise en valeur de la capacité de travail résiduelle de la recourante. En outre, on relèvera que cette dernière a suivi un stage à 50% par le biais de l’Hospice général et refusé la mesure d’aide au placement proposée parallèlement par l’intimé, car elle ne pensait pas pouvoir assumer plus d’une activité à mi-temps, ce qui dénote d’un manque de motivation. De même, bien qu'elle recourt contre la décision et requiert que son droit à des « prestations » soit reconnu, en particulier à une rente d'invalidité, elle ne discute pas du tout du refus de l’intimé de lui accorder des mesures d’ordre professionnel et ne conclut pas spécifiquement à l'octroi de telles mesures. Il appert donc qu’elle conteste la décision litigieuse non pas pour</w:t>
      </w:r>
    </w:p>
    <w:p>
      <w:r>
        <w:t>A/144/2016 - 20/21 - bénéficier de moyens particuliers pouvant contribuer à améliorer sa capacité de gain, mais uniquement car elle ne se considère pas apte à reprendre une activité professionnelle à temps complet. Partant, la décision de l’intimé peut également être confirmée en ce sens qu’elle refuse à la recourante l’octroi de mesures d’ordre professionnel.</w:t>
      </w:r>
    </w:p>
    <w:p>
      <w:r>
        <w:rPr>
          <w:b/>
        </w:rPr>
        <w:t>E. 28</w:t>
      </w:r>
    </w:p>
    <w:p>
      <w:r>
        <w:t>Au vu de ce qui précède, le recours, mal fondé, est rejeté.</w:t>
      </w:r>
    </w:p>
    <w:p>
      <w:r>
        <w:rPr>
          <w:b/>
        </w:rPr>
        <w:t>E. 29</w:t>
      </w:r>
    </w:p>
    <w:p>
      <w:r>
        <w:t>Étant donné que depuis le 1er juillet 2006, la procédure n’est plus gratuite (art. 69 al. 1bis LAI), il y a lieu de condamner la recourante au paiement d’un émolument de CHF 200.-.</w:t>
      </w:r>
    </w:p>
    <w:p>
      <w:r>
        <w:t>A/144/2016 - 21/21 -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