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ATAS/149/2020 vom 27. Februar 2020</w:t>
      </w:r>
    </w:p>
    <w:p>
      <w:r>
        <w:t>GE Cour de justice, 2020-02-27, FR</w:t>
      </w:r>
    </w:p>
    <w:p>
      <w:r>
        <w:rPr>
          <w:b/>
        </w:rPr>
        <w:t xml:space="preserve">Quelle: </w:t>
      </w:r>
      <w:r>
        <w:t>https://mcp.opencaselaw.ch/entscheid/ge_gerichte_ATAS_149_2020</w:t>
      </w:r>
    </w:p>
    <w:p>
      <w:r>
        <w:t>FR: GE_GERICHTE ATAS/149/2020 du 27 février 2020</w:t>
      </w:r>
    </w:p>
    <w:p>
      <w:r>
        <w:t>IT: GE_GERICHTE ATAS/149/2020 del 27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A/1664/2018 - 11/20 -</w:t>
      </w:r>
    </w:p>
    <w:p>
      <w:r>
        <w:rPr>
          <w:b/>
        </w:rPr>
        <w:t>E. 2</w:t>
      </w:r>
    </w:p>
    <w:p>
      <w:r>
        <w:t>La LPGA, entrée en vigueur le 1er janvier 2003, est applicable.</w:t>
      </w:r>
    </w:p>
    <w:p>
      <w:r>
        <w:rPr>
          <w:b/>
        </w:rPr>
        <w:t>E. 3</w:t>
      </w:r>
    </w:p>
    <w:p>
      <w:r>
        <w:t>Interjeté dans les forme et délai prévus par la loi, le recours est recevable (art. 56 et 60 LPGA ; art. 89B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la décision attaquée accorde à l’assuré une rente entière d’invalidité limitée dans le temps, du 1er septembre 2015 au 31 octobre 2016, puis du 1er juin au 31 août 2017. En outre, elle lui refuse l’octroi de mesures d’ordre professionnel. Dans son recours, l’assuré soutient en substance que son incapacité de travail a perduré au-delà du 31 août 2017 et conclut à ce qu’il soit dit que sa rente n’est « pas limitée dans le temps ». Le litige porte donc avant tout sur le maintien de la rente entière qui lui a été accordée.</w:t>
      </w:r>
    </w:p>
    <w:p>
      <w:r>
        <w:rPr>
          <w:b/>
        </w:rPr>
        <w:t>E. 5</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w:t>
      </w:r>
    </w:p>
    <w:p>
      <w:r>
        <w:t>A/1664/2018 - 12/20 -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w:t>
      </w:r>
    </w:p>
    <w:p>
      <w:r>
        <w:t>A/1664/2018 - 13/20 -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w:t>
      </w:r>
    </w:p>
    <w:p>
      <w:r>
        <w:t>A/1664/2018 - 14/20 - une appréciation sur celles déjà existantes (arrêts du Tribunal fédéral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Tribunal fédéral 9C_165/2015 du 12 novembre 2015 consid. 4.3).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Tribunal fédéral 9C_335/2015 du 1er septembre 2015 consid. 3.1, 8C_653/2009 du 28 octobre 2009 consid. 5.2, 8C_239/ 2008 du 17 décembre 2009 consid. 7.2 ;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 arrêt du Tribunal fédéral 9C_25/2015 du 1er mai 2015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w:t>
      </w:r>
    </w:p>
    <w:p>
      <w:r>
        <w:t>A/1664/2018 - 15/20 - mesures de réadaptation, sur un marché du travail équilibré (art. 16 LPGA et art. 28a al. 1 LAI).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w:t>
      </w:r>
    </w:p>
    <w:p>
      <w:r>
        <w:t>A/1664/2018 - 16/20 - consid. 2 et les références). Il n’existe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11</w:t>
      </w:r>
    </w:p>
    <w:p>
      <w:r>
        <w:t>En l'occurrence, l'intimé retient que, depuis son accident, survenu en septembre 2014, l’assuré n’est plus en mesure d’exercer sa profession antérieure de « déménageur » (recte : chauffeur-déménageur). À l’issue du délai de carence d’un an, le 8 septembre 2015, il subsistait une totale incapacité de travail dans toute activité, ce qui ouvrait droit au versement d’une rente entière. En revanche, l’assuré a recouvré, en août 2016, une pleine capacité à exercer toute activité adaptée à ses limitations fonctionnelles, ce qui a entraîné la suppression de sa rente avec effet au 31 octobre 2016. S’agissant de l’intervention chirurgicale du 1er juin 2017, le SMR estime qu’elle n’a entraîné qu’une incapacité de travail transitoire, du 1er juin au 31 août 2017 – ouvrant à nouveau droit au versement d’une rente pendant trois mois –, ensuite de quoi l’assuré a recouvré une pleine capacité dans toute activité adaptée, entraînant derechef la suppression de sa rente. De son côté, le recourant soutient que sa totale incapacité de travail a persisté au-delà du 31 août 2017, que son rendement est réduit et que l’octroi de mesures de réadaptation est « inévitable ». En outre, il relève que le SMR a évalué sa capacité de travail sur la base d’éléments médicaux n’allant pas au-delà d’août 2016, comme en témoigne l’avis du 7 novembre 2017, ce qui démontre une instruction incomplète sur le plan médical. Il ajoute que la Dresse G______ l’a jugé inapte à effectuer tout travail nécessitant l’utilisation du poignet droit et qu’il a contesté le rapport du Dr F______ dans le cadre de la procédure parallèle en matière d’assurance-accidents. Enfin, dans sa dernière écriture, datée du 30 novembre 2018, le recourant expose qu’une nouvelle intervention chirurgicale a été agendée le</w:t>
      </w:r>
    </w:p>
    <w:p>
      <w:r>
        <w:t>A/1664/2018 - 17/20 -</w:t>
      </w:r>
    </w:p>
    <w:p>
      <w:r>
        <w:rPr>
          <w:b/>
        </w:rPr>
        <w:t>E. 14</w:t>
      </w:r>
    </w:p>
    <w:p>
      <w:r>
        <w:t>Dans la mesure où l'instruction entreprise par l'intimé se révèle incomplète, ce qui justifie que la cause lui soit renvoyée, il sera renoncé aux mesures d'instruction proposées par le recourant, par appréciation anticipée des preuves (ATF 122 II 464 consid. 4a ; ATF 122 III 219 consid. 3c).</w:t>
      </w:r>
    </w:p>
    <w:p>
      <w:r>
        <w:rPr>
          <w:b/>
        </w:rPr>
        <w:t>E. 15</w:t>
      </w:r>
    </w:p>
    <w:p>
      <w:r>
        <w:t>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w:t>
      </w:r>
    </w:p>
    <w:p>
      <w:r>
        <w:rPr>
          <w:b/>
        </w:rPr>
        <w:t>E. 16</w:t>
      </w:r>
    </w:p>
    <w:p>
      <w:r>
        <w:t>La procédure de recours en matière de contestation portant sur l'octroi ou le refus de prestations de l'assurance-invalidité étant soumise à des frais de justice, un émolument de CHF 500.- est mis à charge de l'intimé (art. 69 al. 1 bis LAI). ******</w:t>
      </w:r>
    </w:p>
    <w:p>
      <w:r>
        <w:t>A/1664/2018 - 20/20 -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