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ATAS/149/2011 vom 30. November 2009</w:t>
      </w:r>
    </w:p>
    <w:p>
      <w:r>
        <w:t>GE Cour de justice, 2009-11-30, FR</w:t>
      </w:r>
    </w:p>
    <w:p>
      <w:r>
        <w:rPr>
          <w:b/>
        </w:rPr>
        <w:t xml:space="preserve">Quelle: </w:t>
      </w:r>
      <w:r>
        <w:t>https://mcp.opencaselaw.ch/entscheid/ge_gerichte_ATAS_149_2011</w:t>
      </w:r>
    </w:p>
    <w:p>
      <w:r>
        <w:t>FR: GE_GERICHTE ATAS/149/2011 du 30 novembre 2009</w:t>
      </w:r>
    </w:p>
    <w:p>
      <w:r>
        <w:t>IT: GE_GERICHTE ATAS/149/2011 del 30 novembre 2009</w:t>
      </w:r>
    </w:p>
    <w:p>
      <w:pPr>
        <w:pStyle w:val="Heading2"/>
      </w:pPr>
      <w:r>
        <w:t>Erwägungen</w:t>
      </w:r>
    </w:p>
    <w:p>
      <w:r>
        <w:rPr>
          <w:b/>
        </w:rPr>
        <w:t>E. 1</w:t>
      </w:r>
    </w:p>
    <w:p>
      <w:r>
        <w:t>Conformément à l'art. 134 al. 1 let. ch.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 prévoyance professionnelle vieillesse, survivants et invalidité, du 25 juin 1982 (LPP ; RS 831.40).</w:t>
      </w:r>
    </w:p>
    <w:p>
      <w:r>
        <w:rPr>
          <w:b/>
        </w:rPr>
        <w:t>E. 2</w:t>
      </w:r>
    </w:p>
    <w:p>
      <w:r>
        <w:t>A teneur de l'art. 89I al. 2 et 3 de la loi sur la procédure administrative, du 12 septembre 1985 (LPA; RS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3</w:t>
      </w:r>
    </w:p>
    <w:p>
      <w:r>
        <w:t>Lorsque le tribunal estime que le motif de révision est établi, il doit annuler totalement ou partiellement l'arrêt rendu et statuer à nouveau au fond (cf. BOVAY, Procédure administrative, éd. Staempfli, p. 441).</w:t>
      </w:r>
    </w:p>
    <w:p>
      <w:r>
        <w:rPr>
          <w:b/>
        </w:rPr>
        <w:t>E. 4</w:t>
      </w:r>
    </w:p>
    <w:p>
      <w:r>
        <w:t>Dans le cas d'espèce, le Tribunal cantonal des assurance sociales, devenu la Chambre des assurances sociales de la Cour de justice le 1er janvier 2011 a manifestement omis de tenir compte du courrier de la CEH de mars 2010, l'informant qu'aucun transfert ne pouvait être admis, la demanderesse n'étant plus affiliée à la CEH. Il aurait dû interpeller la demanderesse pour déterminer auprès de quelle institution la prestation avait été transférée, avant de juger. La décision ne tient ainsi pas compte de faits invoqués et établis par pièce, de sorte qu'il convient d'annuler le jugement du 30 novembre 2010 et, statuant à nouveau, ordonner le transfert à la FONDATION DE LIBRE PASSAGE DE X__________.</w:t>
      </w:r>
    </w:p>
    <w:p>
      <w:r>
        <w:t>A/519/2010 - 4/4 - PAR CES MOTIFS,</w:t>
      </w:r>
    </w:p>
    <w:p>
      <w:r>
        <w:t>LA CHAMBRE DES ASSURANCES SOCIALES :</w:t>
      </w:r>
    </w:p>
    <w:p>
      <w:r>
        <w:t>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