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ATAS/1490/2009 vom 27. November 2009</w:t>
      </w:r>
    </w:p>
    <w:p>
      <w:r>
        <w:t>GE Cour de justice, 2009-11-27, FR</w:t>
      </w:r>
    </w:p>
    <w:p>
      <w:r>
        <w:rPr>
          <w:b/>
        </w:rPr>
        <w:t xml:space="preserve">Quelle: </w:t>
      </w:r>
      <w:r>
        <w:t>https://mcp.opencaselaw.ch/entscheid/ge_gerichte_ATAS_1490_2009</w:t>
      </w:r>
    </w:p>
    <w:p>
      <w:r>
        <w:t>FR: GE_GERICHTE ATAS/1490/2009 du 27 novembre 2009</w:t>
      </w:r>
    </w:p>
    <w:p>
      <w:r>
        <w:t>IT: GE_GERICHTE ATAS/1490/2009 del 27 novembre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w:t>
      </w:r>
    </w:p>
    <w:p>
      <w:r>
        <w:t>- 7/10-</w:t>
      </w:r>
    </w:p>
    <w:p>
      <w:r>
        <w:t>A/4235/2008 réserve dès le jour de son entrée en vigueur (ATF 117 V 93 consid. 6b, 112 V 360 consid. 4a; RAMA 1998 KV 37 p. 316 consid. 3b). La LPGA s’applique donc au cas d’espèce.</w:t>
      </w:r>
    </w:p>
    <w:p>
      <w:r>
        <w:rPr>
          <w:b/>
        </w:rPr>
        <w:t>E. 3</w:t>
      </w:r>
    </w:p>
    <w:p>
      <w:r>
        <w:t>Le recours a été déposé dans les délai et forme légaux, de sorte qu’il est recevable (art. 56 à 61 LPGA).</w:t>
      </w:r>
    </w:p>
    <w:p>
      <w:r>
        <w:rPr>
          <w:b/>
        </w:rPr>
        <w:t>E. 4</w:t>
      </w:r>
    </w:p>
    <w:p>
      <w:r>
        <w:t>Le litige porte sur le droit de l’assuré à des prestations de l’assurance-invalidité, soit plus particulièrement à des mesures de réadaptation professionnelle.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6</w:t>
      </w:r>
    </w:p>
    <w:p>
      <w:r>
        <w:t>L’autorité administrative doit constater d’office les faits déterminants, c’est-à-dire toutes les circonstances dont dépend l’application des règles de droit (ATF 117 V 261 consid. 3 p. 263 ; T. LOCHER Grundriss des Sozialversicherungsrecht, Bern 1994, t.1, p. 438).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w:t>
      </w:r>
    </w:p>
    <w:p>
      <w:r>
        <w:t>- 8/10-</w:t>
      </w:r>
    </w:p>
    <w:p>
      <w:r>
        <w:t>A/4235/2008 du cas (ATF 117 V 283 consid. 4a; ATFA non publié du 19 mars 2004, I 751/03 consid. 3.3, RAMA 1985 K 646 p. 240 consid. 4).</w:t>
      </w:r>
    </w:p>
    <w:p>
      <w:r>
        <w:rPr>
          <w:b/>
        </w:rPr>
        <w:t>E. 7</w:t>
      </w:r>
    </w:p>
    <w:p>
      <w:r>
        <w:t>De son côté le juge qui considère que les faits ne sont pas suffisamment élucidés peut renvoyer la cause à l’administration pour complément d’instruction ou procéder lui-même à une telle instruction complémentaire (RAMA 1993 p. 136) ; En matière d’AI la première solution est en principe préférée (ATFA I 431/02 du 8 novembre 2002).</w:t>
      </w:r>
    </w:p>
    <w:p>
      <w:r>
        <w:rPr>
          <w:b/>
        </w:rPr>
        <w:t>E. 8</w:t>
      </w:r>
    </w:p>
    <w:p>
      <w:r>
        <w:t>En l'espèce, les parties se sont mises d'accord sur le fait qu'il se justifiait de mettre sur pied une expertise judiciaire par un médecin psychiatre connaissant bien la problématique du TDAH. Elles ont proposé le Docteur D__________ pour cette mission.</w:t>
      </w:r>
    </w:p>
    <w:p>
      <w:r>
        <w:t>- 9/10-</w:t>
      </w:r>
    </w:p>
    <w:p>
      <w:r>
        <w:t>A/4235/2008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