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ATAS/148/2024 vom 6. März 2024</w:t>
      </w:r>
    </w:p>
    <w:p>
      <w:r>
        <w:t>GE Cour de justice, 2024-03-06, FR</w:t>
      </w:r>
    </w:p>
    <w:p>
      <w:r>
        <w:rPr>
          <w:b/>
        </w:rPr>
        <w:t xml:space="preserve">Quelle: </w:t>
      </w:r>
      <w:r>
        <w:t>https://mcp.opencaselaw.ch/entscheid/ge_gerichte_ATAS_148_2024</w:t>
      </w:r>
    </w:p>
    <w:p>
      <w:r>
        <w:t>FR: GE_GERICHTE ATAS/148/2024 du 6 mars 2024</w:t>
      </w:r>
    </w:p>
    <w:p>
      <w:r>
        <w:t>IT: GE_GERICHTE ATAS/148/2024 del 6 marzo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Selon l’art. 58 al. 2 LPGA, si l’assuré ou une autre partie sont domiciliés à l’étranger, le tribunal des assurances compétent est celui du canton de leur dernier domicile en Suisse ou celui du canton de domicile de leur dernier employeur suisse.</w:t>
      </w:r>
    </w:p>
    <w:p>
      <w:r>
        <w:rPr>
          <w:b/>
        </w:rPr>
        <w:t>E. 1.2</w:t>
      </w:r>
    </w:p>
    <w:p>
      <w:r>
        <w:t>En l'espèce, le recourant, domicilié en France, a travaillé en dernier lieu pour un employeur ayant son siège dans le canton de Genève.</w:t>
      </w:r>
    </w:p>
    <w:p>
      <w:r>
        <w:rPr>
          <w:b/>
        </w:rPr>
        <w:t>E. 1.3</w:t>
      </w:r>
    </w:p>
    <w:p>
      <w:r>
        <w:t>La compétence de la chambre de céans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Dans son mémoire de réponse du 21 novembre 2023, l'intimée a conclu à l'irrecevabilité du recours au motif que l'argumentation contenue dans celui-ci ne</w:t>
      </w:r>
    </w:p>
    <w:p>
      <w:r>
        <w:t>A/3781/2023 - 12/25 - permettait pas de savoir pour quelles raisons le recourant contestait le montant de l'IPAI et que le recourant n'avait pas pris de conclusions. Selon l'art. 61 let. b LPGA, l'acte de recours doit contenir un exposé succinct des faits et des motifs invoqués, ainsi que les conclusions.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116 V 353 consid. 2b ; 136 V 131 consid. 1.2 ; 123 IV 125 consid. 1 ; arrêt du Tribunal fédéral 4A_375/2012 consid. 1.2 non publié in ATF 139 III 24 ; cf. Jean MÉTRAL, in Dupont/Moser-Szeless [éd.], Commentaire romand de la loi sur la partie générale des assurances sociales, n. 43 ad art. 61 LPGA). En l'occurrence, si le mémoire de recours est effectivement particulièrement succinct et qu'il ne contient pas d'exposé des faits, ni de conclusions clairement formulées, force est de constater que l'on peut déduire de la motivation présentée que le recourant conteste le taux de l'IPAI de 10% faisant valoir l'incapacité totale de travail retenue par l'OAI. En outre, le recourant a complété sa motivation dans sa réplique du 9 novembre 2023 arguant que le taux de l'IPAI retenu par l'intimé était dérisoire en raison de l'absence d'amélioration de son état de santé. De cette motivation, l'on est en mesure de comprendre que le recourant prétend à une IPAI supérieure au taux de 10% retenu par l'intimée. Au vu de ces éléments, la chambre de céans retiendra que le recours respecte la condition de la forme prévue à l'art. 61 let. b LPGA. Interjeté dans la forme et dans le délai de trente jours prévu par la loi (art. 56 LPGA; art. 62 al. 1 de la de loi sur la procédure administrative du 12 septembre 1985 [LPA - E 5 10]), le recours est recevable.</w:t>
      </w:r>
    </w:p>
    <w:p>
      <w:r>
        <w:rPr>
          <w:b/>
        </w:rPr>
        <w:t>E. 5.1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w:t>
      </w:r>
    </w:p>
    <w:p>
      <w:r>
        <w:t>A/3781/2023 - 13/25 -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5.2</w:t>
      </w:r>
    </w:p>
    <w:p>
      <w:r>
        <w:t>En l'espèce, il ressort, tant de l'opposition du 11 octobre 2023 que du recours et de la réplique, que le recourant s'est limité à contester le taux de l'IPAI de 10% retenu par l'intimée, faisant valoir que ce taux serait dérisoire au regard du degré d'invalidité de 100% retenu par l'OAI et de l'absence d'amélioration de son état de santé. Le recourant n'a ainsi pas contesté la rente d'invalidité octroyée par l'intimée, de sorte que celle-ci est entrée en force. Dès lors, conformément à ce qu'a retenu l'intimée dans la décision querellée, l'objet du présent litige est limité à la question du taux de l'indemnité pour atteinte à l'intégrité et au montant de celle-ci.</w:t>
      </w:r>
    </w:p>
    <w:p>
      <w:r>
        <w:rPr>
          <w:b/>
        </w:rPr>
        <w:t>E. 6.1</w:t>
      </w:r>
    </w:p>
    <w:p>
      <w:r>
        <w:t>La décision sur opposition remplace la décision initiale et devient, en cas de recours à un juge, l'objet de la contestation de la procédure judiciaire (arrêt du Tribunal fédéral 9C_777/2013 consid. 5.2.1).</w:t>
      </w:r>
    </w:p>
    <w:p>
      <w:r>
        <w:rPr>
          <w:b/>
        </w:rPr>
        <w:t>E. 6.2</w:t>
      </w:r>
    </w:p>
    <w:p>
      <w:r>
        <w:t>En l'occurrence, dans son mémoire de réplique du 28 novembre 2023, le recourant a conclu, à la fois, à l'annulation de la décision sur opposition du 3 novembre 2023 et à l'annulation de la décision initiale du 28 septembre 2023. Or, en l'application de la jurisprudence susvisée, la décision du 3 novembre 2023 a remplacé la décision du 28 septembre 2023, de sorte que la conclusion tendant à l'annulation de cette dernière est irrecevable.</w:t>
      </w:r>
    </w:p>
    <w:p>
      <w:r>
        <w:rPr>
          <w:b/>
        </w:rPr>
        <w:t>E. 7.1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w:t>
      </w:r>
    </w:p>
    <w:p>
      <w:r>
        <w:t>A/3781/2023 - 14/25 - (arrêt du Tribunal fédéral 8C_520/2009 du 24 février 2010 consid. 2; ATF 129 V 402 consid. 2.1 et les références).</w:t>
      </w:r>
    </w:p>
    <w:p>
      <w:r>
        <w:rPr>
          <w:b/>
        </w:rPr>
        <w:t>E. 7.2</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w:t>
      </w:r>
    </w:p>
    <w:p>
      <w:r>
        <w:t>A/3781/2023 - 15/25 - abstraction faite des facteurs subjectifs (ATF 115 V 147 consid. 1 ; 113 V 218 consid. 4b et les références ; 125 II 169 consid. 2d).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w:t>
      </w:r>
    </w:p>
    <w:p>
      <w:r>
        <w:t>A/3781/2023 - 16/25 -</w:t>
      </w:r>
    </w:p>
    <w:p>
      <w:r>
        <w:rPr>
          <w:b/>
        </w:rPr>
        <w:t>E. 7.3</w:t>
      </w:r>
    </w:p>
    <w:p>
      <w:r>
        <w:t>Entre le 1er janvier 2008 et le 31 décembre 2015, le montant maximum du gain assuré s’élevait à CHF 126'000.- par an et CHF 346.- par jour (art. 22 al. 1 aOLAA ; RO 2007 3667). En cas de rechute ou de séquelles tardives, la base de calcul déterminante pour le calcul de l'indemnité pour atteinte à l'intégrité due est le montant maximum du gain annuel assuré au jour de l'accident (ATF 127 V 456 consid. 4).</w:t>
      </w:r>
    </w:p>
    <w:p>
      <w:r>
        <w:rPr>
          <w:b/>
        </w:rPr>
        <w:t>E. 7.4</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7.5</w:t>
      </w:r>
    </w:p>
    <w:p>
      <w:r>
        <w:t>Aux termes de l'art. 36 al. 4 OLAA, il est équitablement tenu compte des aggravations prévisibles de l'atteinte à l'intégrité ;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w:t>
      </w:r>
    </w:p>
    <w:p>
      <w:r>
        <w:t>A/3781/2023 - 17/25 - constatations médicales (arrêt du Tribunal fédéral 8C_745/2022 du 29 juin 2023 consid. 3.3 et les références). Si l'atteinte à la santé évolue dans le cadre du pronostic initial, il est exclu de réviser une indemnité pour atteinte à l'intégrité une fois que celle-ci a été accordée. En revanche, l'indemnité peut être réévaluée si l'atteinte à l'intégrité s'aggrave ultérieurement de manière significative (d’au moins 5%) par rapport au pronostic (cf. arrêt du Tribunal fédéral 8C_746/2022 du 18 octobre 2023 consid. 2.2. et les références ; RAMA 1991 n° U 132 p. 305).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7.6</w:t>
      </w:r>
    </w:p>
    <w:p>
      <w:r>
        <w:t>Le CRPS est une pathologie neurologique, orthopédique et traumatologique et relève d’un trouble organique (arrêt du Tribunal fédéral 8C_232/2012 du 27 septembre 2012 consid. 5.3.1). 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1er mars 2021 consid. 3). Les critères de Budapest sont les suivants : une douleur continue disproportionnée par rapport à l’événement déclenchant ; le patient doit rapporter au moins un symptôme dans trois des quatre catégories suivantes : sensorielle : hyperesthésie</w:t>
      </w:r>
    </w:p>
    <w:p>
      <w:r>
        <w:t>A/3781/2023 - 18/25 -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 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w:t>
      </w:r>
    </w:p>
    <w:p>
      <w:r>
        <w:rPr>
          <w:b/>
        </w:rPr>
        <w:t>E. 7.7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w:t>
      </w:r>
    </w:p>
    <w:p>
      <w:r>
        <w:t>A/3781/2023 - 19/25 -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w:t>
      </w:r>
    </w:p>
    <w:p>
      <w:r>
        <w:t>A/3781/2023 - 20/25 -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126 V 353 consid. 5b et les références;</w:t>
      </w:r>
    </w:p>
    <w:p>
      <w:r>
        <w:t>A/3781/2023 - 21/25 - 125 V 193 consid. 2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8.1</w:t>
      </w:r>
    </w:p>
    <w:p>
      <w:r>
        <w:t>En l'espèce, le 26 juin 2023, le Dr I______ a procédé à une évaluation de l'atteinte à l'intégrité du recourant, fondée exclusivement sur le dossier de la SUVA, en particulier sur les rapports du Dr F______, sans avoir procédé à l'examen clinique de l'intéressé. Il a évalué l'atteinte à l'intégrité de ce dernier à hauteur de 10% en se référant au tableau des atteintes à l'intégrité selon la LAA, table n°5 applicable aux atteintes à l'intégrité résultant d'arthroses (disponible sur : https://www.suva.ch/fr-ch/download/fiches-thematiques/tableau-05---atteinte-a-l- integrite-resultant-d--arthroses--2870/5.F). Compte tenu de la déchirure du ligament croisé antérieur du genou gauche avec ligamentoplastie effectuée en 2017, du développement d'un amincissement de l'espace fémoro-tibial interne à la radiologie (dans le sens d'une gonarthrose interne), ainsi que de la persistance d'une certaine raideur et d'épanchements lors des surcharges mécaniques, le Dr I______ a retenu une arthrose de type fémoro-tibiale moyenne asymptomatique qui correspondait au taux d'une arthrose moyenne, soit 10%. Le recourant a contesté cette appréciation, estimant que le taux de 10% était dérisoire au regard de l'incapacité de travail totale que lui avait reconnu l'OAI.</w:t>
      </w:r>
    </w:p>
    <w:p>
      <w:r>
        <w:t>A/3781/2023 - 22/25 -</w:t>
      </w:r>
    </w:p>
    <w:p>
      <w:r>
        <w:rPr>
          <w:b/>
        </w:rPr>
        <w:t>E. 8.1.1</w:t>
      </w:r>
    </w:p>
    <w:p>
      <w:r>
        <w:t>En premier lieu, la chambre de céans relève que les documents établis par l'OAI et l'OAIE produits par l'intéressé dans le cadre de la présente procédure ne lui sont d'aucun secours pour la détermination du taux de l'IPAI. En effet, la correspondance reçue de l'OAIE du 4 août 2020 indique que cet office prévoyait la révision de sa rente d'invalidité, de sorte qu'il n'est pas établi, au degré de la vraisemblance prépondérante, que son degré d'invalidité n'aurait pas été revu à la baisse dans l'intervalle. Il en va de même pour les décisions du 28 février 2019 concernant les rentes ordinaires d'invalidité pour enfant liées à la rente du père, ainsi que le projet de décision de l'OAI, non daté, faisant état d'un degré d'invalidité de 100%. En tout état de cause, ces pièces ne sont pas de nature à influer sur la détermination du taux de l'IPAI par la SUVA, dès lors que, selon la jurisprudence applicable, les décisions de l'assurance-invalidité n'ont pas force contraignante pour l'assureur-accidents (ATF 131 V 362 consid. 2.2).</w:t>
      </w:r>
    </w:p>
    <w:p>
      <w:r>
        <w:rPr>
          <w:b/>
        </w:rPr>
        <w:t>E. 8.1.2</w:t>
      </w:r>
    </w:p>
    <w:p>
      <w:r>
        <w:t>Le recourant a en outre produit, à l'appui de sa réplique, le rapport du Dr F______ du 7 juillet 2023 qui n'avait pas été transmis à l'intimée avant la présente procédure. Ce médecin traitant y a décrit un tableau resté inchangé, avec d'importantes dysesthésies du membre inférieur et a indiqué la « poursuite du syndrome algodystrophie ». Le diagnostic d'algodystrophie, aussi connue sous les termes de syndrome douloureux régional complexe (CRPS – « Complex regional pain syndrome » en anglais) ou maladie de Sudeck, avait été posé pour la première fois par le Dr F______ le 31 juillet 2017, puis par les docteurs H______ (le 1er mars 2021), I______ (le 29 juin 2021) et F______ (le 25 avril 2022, le 27 juin 2022, le 24 octobre 2022 et le 2 janvier 2023). Or, dans son rapport du 3 janvier 2023, le Dr I______ avait retenu que le diagnostic de CRPS n'était pas confirmé dès lors que la description de ce diagnostic par le Dr F______ dans son rapport du 2 janvier 2023 ne permettait pas de suivre les critères de Budapest. Le Dr I______ a tout de même retenu qu'un CRPS était probable au vu des antécédents de CRPS chez le recourant et a qualifié le rapport de causalité entre le CRPS et l'événement du 13 septembre 2013 de probable, « dans la mesure où l'intervention du 13 septembre 2022 était en rapport de causalité naturelle probable avec cet événement » (cf. rapport du Dr I______ du 3 janvier 2023). Dans son appréciation du 10 mai 2023, sur laquelle s'est fondée l'intimée pour rendre la décision litigieuse, le Dr I______ a répété que le diagnostic de CRPS n'était pas confirmé pour les motifs cités ci-avant et n'a pas évoqué celui-ci dans sa motivation de l'estimation de l'IPAI du 9 mai 2023. S'il est exact qu'à la lecture des pièces du dossier, il apparaît que les critères de Budapest n'ont pas été examinés en détail par Dr F______, il sied toutefois de constater que plusieurs d'entre eux ont été mentionnés par ce spécialiste dans plusieurs de ses rapports. Ont ainsi notamment été signalés des douleurs importantes entrainant une gêne à la rééducation et lors de l'examen clinique, l'existence d'un œdème prêt tibial (cf. rapport du 4 décembre 2017), des douleurs importantes au niveau du genou nécessitant l'usage des béquilles, une légère</w:t>
      </w:r>
    </w:p>
    <w:p>
      <w:r>
        <w:t>A/3781/2023 - 23/25 - augmentation de la température cutanée (cf. rapport du 25 janvier 2018), une douleur importante à type de brûlures dans le genou de la mise en charge, d'importantes douleurs à la pression de l'interligne interne et au niveau de la sortie du tunnel tibial (cf. rapport du 12 novembre 2018), une douleur importante au niveau du compartiment interne du genou, une sensibilité très nette à la palpation de l'interligne interne et en regard de la sortie du tunnel tibial (cf. rapport du</w:t>
      </w:r>
    </w:p>
    <w:p>
      <w:r>
        <w:rPr>
          <w:b/>
        </w:rPr>
        <w:t>E. 11</w:t>
      </w:r>
    </w:p>
    <w:p>
      <w:r>
        <w:t>février 2019), des brûlures dans le genou, surtout sur la partie antéro-interne, avec des dysesthésies dans tout le membre inférieur et une sensation de faiblesse (cf. rapport du 3 décembre 2020), des dysesthésies de tout le membre inférieur gauche (cf. rapport du 3 février 2021), des douleurs importantes à type de brûlures à la partie antérieure et supérieure du tibia (cf. rapport du 27 mai 2021), des douleurs avec d'importantes dysesthésies et une sensation de piqué en relation avec une petite formation kystique (cf. rapport du 30 août 2021), des brûlures et une très légère augmentation de la température cutanée (cf. rapport du 25 octobre 2022), des dysesthésies dans tout le membre inférieur gauche et faiblesse des membres inférieurs (cf. rapport du 2 janvier 2023), le genou dans l'ensemble sensible, mais surtout la partie haute et antérieure du tibia (cf. rapport du 6 avril 2023), d'importantes dysesthésies du membre inférieur avec d'importantes douleurs surtout la nuit, ainsi que des réveils importants douloureux au niveau de sa cheville gauche (cf. rapport du 7 juillet 2023). Au vu de ces éléments, le diagnostic de CRPS ne pouvait être valablement écarté par le Dr I______, au degré de la vraisemblance prépondérante, au motif que le rapport du Dr F______ du 2 janvier 2023 ne permettait pas de suivre les critères de Budapest. Cela est d'autant plus vrai que, selon l'avis du Dr H______, les critères de Budapest étaient remplis à teneur du rapport du Dr F______ du 3 février 2021, dès lors qu'appelé à se déterminer sur ce rapport, le Dr H______ a expressément relevé que le recourant présentait la maladie de Sudeck en phase évolutive (cf. rapport du Dr H______ du 1er mars 2021). Dans ces circonstances, l'appréciation médicale du Dr I______, qui écarte le diagnostic de CRPS sans prendre en considération les éléments correspondants aux critères de Budapest consignés dans la plupart des rapports du Dr F______ et qui ne repose pas sur un examen médical du recourant, permet de douter de la fiabilité de l'appréciation du cas par le Dr I______, ce d'autant plus que ce dernier avait, dans son rapport du 29 juin 2021, retenu le diagnostic de CRPS sur la base du rapport du Dr BOCCACIO du 27 mai 2021. Au surplus, la chambre de céans relève que le dernier examen du recourant par un médecin de la SUVA remonte au 3 septembre 2019 et que l'intéressé n'a pas effectué de séjour à la CRR dans l'intervalle. Si l'on peut certes comprendre la réticence des médecins de la SUVA à examiner le recourant en raison des problèmes de sécurité rencontrés avec celui-ci lors de l'examen de septembre 2019, il apparaît, au vu des éléments susmentionnés, qu'un examen médical paraissait indiqué.</w:t>
      </w:r>
    </w:p>
    <w:p>
      <w:r>
        <w:t>A/3781/2023 - 24/25 - L'intimée ayant prononcé la clôture du cas et examiné le droit à une IPAI sans avoir intégré à son appréciation le diagnostic de CRPS pourtant retenu par les Drs H______ et F______, la cause lui sera renvoyée pour qu'elle complète l'instruction sur ce point et qu’elle mette en œuvre une expertise, en application de l’art. 44 LPGA. Il n'appartient en effet pas à la chambre de céans d'ordonner elle-même une expertise judiciaire, dès lors que l'intimée a rendu la décision querellée sur la seule base de l'avis du Dr I______ dont la fiabilité ne peut être retenue. Par ailleurs, il ressort du rapport du Dr J______ du 2 janvier 2023 et des rapports du Dr F______ des 6 avril et 7 juillet 2023 que le recourant est suivi sur le plan psychiatrique et qu'un traitement par antidépresseurs (EFFEXOR 75 : 100 et EFFEXOR 37.5 : 010) lui a été prescrit. Toutefois, aucun rapport établi par un médecin psychiatre ne figure au dossier. Il s'agira donc également pour l'intimée de compléter l'instruction sur ce point. Il sera au demeurant relevé que l'instruction complémentaire devant être effectuée par l'intimée devra se limiter à l'instruction des éléments médicaux nécessaires à l'évaluation du taux de l'IPAI et à la détermination du montant de celle-ci, à l'exclusion de la question de la rente d'invalidité, dès lors que celle-ci n'a pas été contestée par le recourant et est donc entrée en force. 9. Eu égard à tout ce qui précède, le recours sera partiellement admis, la décision de l'intimée du 3 novembre 2023 concernant le droit du recourant à une indemnité pour atteinte à l'intégrité d'un taux de 10% annulée et la cause renvoyée à l’intimée pour instruction complémentaire au sens des considérants et nouvelle décision. 10. Étant donné que le recourant obtient partiellement gain de cause dans la procédure de recours,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A/3781/2023 - 25/25 -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