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ATAS/148/2015 vom 5. Februar 2015</w:t>
      </w:r>
    </w:p>
    <w:p>
      <w:r>
        <w:t>GE Cour de justice, 2015-02-05, FR</w:t>
      </w:r>
    </w:p>
    <w:p>
      <w:r>
        <w:rPr>
          <w:b/>
        </w:rPr>
        <w:t xml:space="preserve">Quelle: </w:t>
      </w:r>
      <w:r>
        <w:t>https://mcp.opencaselaw.ch/entscheid/ge_gerichte_ATAS_148_2015</w:t>
      </w:r>
    </w:p>
    <w:p>
      <w:r>
        <w:t>FR: GE_GERICHTE ATAS/148/2015 du 5 février 2015</w:t>
      </w:r>
    </w:p>
    <w:p>
      <w:r>
        <w:t>IT: GE_GERICHTE ATAS/148/2015 del 5 febbraio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plus d’une demi-rente d’invalidité.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A/317/2014 - 13/19 -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A/317/2014 - 14/19 -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A/317/2014 - 15/19 -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La recourante fait grief à l'administration d'avoir fondé son appréciation de sa capacité de travail sur les rapports d’expertise du BREM, dont elle conteste la valeur probante au motif qu’elle n’aurait été reçue qu’à un entretien la seconde fois, et que la Dresse H______ n’avait pas les compétences pour se prononcer sur l’atteinte gastroentérologique. La Cour de céans ne saurait suivre l’argumentation de la recourante pour les motifs suivants. Tout d'abord, les rapports d’expertise des Drs H______ et I______ se fondent sur une anamnèse détaillée, un examen clinique de la recourante, des examens complémentaires et relatent les plaintes de l’intéressée. Ils ont été établi en pleine connaissance du dossier et leurs conclusions, dûment motivées, ne laissent pas apparaître de contradictions. Il y a donc lieu de leur reconnaître pleine valeur probante. Ainsi que le fait remarquer l’intimé, la durée de l’entretien entre un expert et l’assurée n’est pas un critère reconnu par la jurisprudence comme déterminant en la matière. Par ailleurs, le fait que la Dresse H______ ne soit pas spécialiste en gastroentérologie ne lui interdit pas de se prononcer sur les conséquences de l’atteinte dont le diagnostic n’est au demeurant pas contesté. Il ne s’agit pas ici de proposer un traitement adéquat mais simplement d’évaluer en termes de capacité de travail, les conséquences de l’atteinte digestive. Les griefs de la recourante à cet égard ne sauraient donc être retenus. Quant aux conclusions des experts, aucun élément objectif ne permet de s’en écarter. L’argument du Dr D______, selon lequel la recourante souffrirait de diarrhées intempestives et non prévisibles se manifestant dix à quinze fois par jour n’est pas corroboré par les éléments de fait. A cet égard, on relèvera que le médecin traitant concluait déjà à une totale incapacité de travail en octobre 2009 pour raisons uniquement digestives alors qu’à la même époque, ni le Dr E______ ni le Dr K______ ne concluaient à une incapacité de travail sur ce plan. En août 2011 - date à laquelle le Dr D______ continuait à conclure à une totale incapacité pour raisons uniquement digestives -, le Dr F______ indiquait que celles-ci s’élevaient à 4 fois par jour (et non 10-15). Cette divergence s’explique sans doute par l’amplification des plaintes relevée par les experts à plusieurs reprises. Au demeurant, les experts n’ont pas contesté que l’exigence de la proximité de toilettes compte au nombre des limitations à prendre en considération.</w:t>
      </w:r>
    </w:p>
    <w:p>
      <w:r>
        <w:t>A/317/2014 - 16/19 - Quant à l’atteinte aux mains soulignée par le Dr D______ en audience, force est de constater qu’elle n’a été évoquée pour la première fois qu’en procédure de recours. Quoi qu’il en soit, l’activité légère préconisée par les experts semble compatible avec l’exigence d’éviter le travail en force et les exercices de motricité fine. Quant au Dr F______, il convient de relever que ce n’est que sur le tard qu’il a retenu une totale incapacité de travail, qu’il justifie par l’ensemble des atteintes de la recourante, aussi bien digestives que psychiques, rhumatologiques ou encore par le contexte social. Enfin, la Dresse G______ reste vague quant aux limitations psychiques et n’explique pas pourquoi aucune activité ne serait envisageable. De même, son confrère, le Dr J______ (qui a suivi l’assurée du 20 avril au 9 octobre 2012, en remplacement de la Dresse G______) ne se montre pas plus convaincant quand il se contente de conclure à une « psychopathologie grave et chronique avec incapacité de travail à 100% », sans donner d’autres précisions quant aux diagnostics retenus et aux limitations y relatives. Eu égard à ces considérations, la Cour de céans considère qu’il n’existe aucun élément objectif permettant de douter du bien-fondé des expertises des Drs H_______ et I______. Il n’y a donc pas lieu de mettre en œuvre une expertise judiciaire, d’autant que les atteintes sont clairement établies. Il y a donc lieu de retenir, avec les experts, une capacité de 50% dans une activité adaptée, c’est-à-dire évitant les horaires irréguliers, les repas à l’extérieur, permettant des temps de pause, prenant en compte les raisons physiques et psychiques cumulées, étant rappelé que, selon les experts, il n’y a pas de facteur justifiant d’additionner de manière mathématique les causes psychiques et physiques, comme l’ont manifestement fait les médecins traitants.</w:t>
      </w:r>
    </w:p>
    <w:p>
      <w:r>
        <w:rPr>
          <w:b/>
        </w:rPr>
        <w:t>E. 10</w:t>
      </w:r>
    </w:p>
    <w:p>
      <w:r>
        <w:t>Il convient à présent de se prononcer sur le taux d'invalidité retenu par l'intimé, lequel s’est contenté de conclure que le degré d’incapacité se confondait avec le degré d’invalidité.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w:t>
      </w:r>
    </w:p>
    <w:p>
      <w:r>
        <w:t>A/317/2014 - 17/19 -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Le début du droit aux prestations n'étant pas contesté, il n'y a pas lieu d'y revenir. c) En l’espèce, la recourante a réalisé, en 2008, un revenu total de CHF 59'370.- (CHF 11'270.- à titre accessoire selon l’extrait de compte AVS + CHF 48'100.- à titre principal, selon son contrat de travail et les autres indications ressortant du dossier).</w:t>
      </w:r>
    </w:p>
    <w:p>
      <w:r>
        <w:t>A/317/2014 - 18/19 - Ainsi que le fait valoir à juste titre la recourante, on ne saurait se dispenser ici d’un calcul du degré d’invalidité puisqu’elle travaillait à plus de 100% avant l’atteinte à sa santé. En effet, en concluant à une capacité de travail réduite de 50%, les experts se sont manifestement prononcés de manière générale, soit par rapport à un plein temps normal. S’agissant du revenu d’invalide, en l’absence de reprise d’activité in casu, il convient de se référer aux salaires statistiques tels qu’ils découlent de l’Enquête suisse sur la structure des salaires éditée par l’Office fédéral de la statistique (ESS), d’autant que les experts ont indiqué que l’activité habituelle auprès du restaurant était contre-indiquée en raison des horaires irréguliers. Ainsi que cela a été dit supra, l’assurée pourrait exercer à 50% une activité adaptée. Au regard du large éventail d'activités simples et répétitives offertes par les secteurs de la production et des services, on doit convenir qu'un marché du travail équilibré offre un nombre significatif de postes de travail légers et correspondant aux limitations fonctionnelles retenues. Selon les données de l'ESS 2008, le revenu mensuel standardisé d'une femme exerçant une activité simple et répétitive s'élevait, tous domaines confondus, à CHF 4'116.- par mois (valeur médiane). Ce salaire hypothétique doit être rectifié pour tenir compte du fait que les salaires bruts standardisés sont calculés sur la base d’un horaire de travail de 40 heures par semaine, soit une durée hebdomadaire inférieure à la moyenne usuelle dans les entreprises (41,6 heures; pour 2008 : La Vie économique, 6-2013 p. 90, tabelle B 9.2). On obtient dès lors, pour un horaire de travail moyen de 41,6 heures (cf. ATF 126 V 81 consid. 7a), un salaire annuel brut, en 2008, de CHF 51'368..-. Il paraît justifier d’y appliquer une réduction supplémentaire de 10% pour tenir compte des difficultés de la recourante à trouver un environnement adapté. Cela conduit à un revenu de CHF 46'231, soit, à 50%, CHF 23'116.-. Ce montant, comparé à celui de CHF 59'370.- obtenu en 2008 par la recourante, conduit à un degré d’invalidité de 61%, suffisant pour ouvrir droit à un trois-quarts de rente. Sur ce point, le recours est donc partiellement admis.</w:t>
      </w:r>
    </w:p>
    <w:p>
      <w:r>
        <w:t>A/317/2014 - 19/19 -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