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ATAS/148/2014 vom 4. Februar 2014</w:t>
      </w:r>
    </w:p>
    <w:p>
      <w:r>
        <w:t>GE Cour de justice, 2014-02-04, FR</w:t>
      </w:r>
    </w:p>
    <w:p>
      <w:r>
        <w:rPr>
          <w:b/>
        </w:rPr>
        <w:t xml:space="preserve">Quelle: </w:t>
      </w:r>
      <w:r>
        <w:t>https://mcp.opencaselaw.ch/entscheid/ge_gerichte_ATAS_148_2014</w:t>
      </w:r>
    </w:p>
    <w:p>
      <w:r>
        <w:t>FR: GE_GERICHTE ATAS/148/2014 du 4 février 2014</w:t>
      </w:r>
    </w:p>
    <w:p>
      <w:r>
        <w:t>IT: GE_GERICHTE ATAS/148/2014 del 4 febbraio 2014</w:t>
      </w:r>
    </w:p>
    <w:p>
      <w:pPr>
        <w:pStyle w:val="Heading2"/>
      </w:pPr>
      <w:r>
        <w:t>Erwägungen</w:t>
      </w:r>
    </w:p>
    <w:p>
      <w:r>
        <w:rPr>
          <w:b/>
        </w:rPr>
        <w:t>E. 1</w:t>
      </w:r>
    </w:p>
    <w:p>
      <w:r>
        <w:t>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w:t>
      </w:r>
    </w:p>
    <w:p>
      <w:r>
        <w:rPr>
          <w:b/>
        </w:rPr>
        <w:t>E. 2</w:t>
      </w:r>
    </w:p>
    <w:p>
      <w:r>
        <w:t>Interjeté dans les formes et délai prévus par la loi, le présent recours est recevable (art. 56 à 61 LPGA et 38 al. 3 LPGA p.a.).</w:t>
      </w:r>
    </w:p>
    <w:p>
      <w:r>
        <w:rPr>
          <w:b/>
        </w:rPr>
        <w:t>E. 3</w:t>
      </w:r>
    </w:p>
    <w:p>
      <w:r>
        <w:t>Le litige porte sur l’augmentation de la rente d’invalidité de l’assuré pour les suites de l’accident du 20 mars 1996 et, en particulier, sur son degré d’invalidité.</w:t>
      </w:r>
    </w:p>
    <w:p>
      <w:r>
        <w:t>A/369/2011 - 12/20 -</w:t>
      </w:r>
    </w:p>
    <w:p>
      <w:r>
        <w:rPr>
          <w:b/>
        </w:rPr>
        <w:t>E. 4</w:t>
      </w:r>
    </w:p>
    <w:p>
      <w:r>
        <w:t>a) Selon l’art. 17 LPGA, reprenant les termes de l’ancien art. 22 al. 1 LAA en vigueur jusqu’au 31 décembre 2002,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l’art. 22 LAA, en vigueur jusqu'au 31 décembre 2002 (ATF 130 V 343 consid. 3.5). b) Une modification notable au sens de l’art. 17 LPGA a été jugée, sous l’empire de la LAMA, en fonction du degré antérieur de l’invalidité (une aggravation de 5% était considérée comme notable pour un degré d’invalidité de 15%, mais non de 75%). Certains auteurs préconisent de considérer comme déterminante une variation du taux de l’invalidité de 10% au minimum, ce qui paraît adéquat dès lors que seul un taux d’invalidité au moins supérieur à 10% ouvre le droit à une rente (FRESARD/MOSER-SZELESS, in SBVR, Schweizerisches Bundesverwaltungs- recht, L’assurance-accidents obligatoire, p. 911, ch. 215 et les références). Le Tribunal fédéral a jugé qu’un degré d’invalidité de 3% supérieur au degré d’invalidité de 33.3% ne pouvait pas être considérée comme une modification notable au sens de l’art. 17 LPGA (Arrêt non publié du Tribunal fédéral du 20 avril 2010 no 8C_41/2010, consid. 4.3.2). Dans un autre arrêt, il est arrivé à la même conclusion, concernant une différence de moins de 5% par rapport au degré d’invalidité antérieur (70%), différence qui représentait une augmentation proportionnelle de 5.7% du degré d’invalidité (arrêt du non publié du Tribunal fédéral du 18 juillet 2006 no U 267/05, consid. 3.3).</w:t>
      </w:r>
    </w:p>
    <w:p>
      <w:r>
        <w:rPr>
          <w:b/>
        </w:rPr>
        <w:t>E. 5</w:t>
      </w:r>
    </w:p>
    <w:p>
      <w:r>
        <w:t>a)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w:t>
      </w:r>
    </w:p>
    <w:p>
      <w:r>
        <w:t>A/369/2011 - 13/20 - d’une atteinte à sa santé physique, mentale ou psychique et qu’elle persiste après les traitements et les mesures de réadaptation exigibles (art. 7 LPGA). b) Pour pouvoir calculer le degré d’invalidité, l’administration (ou le juge, en cas de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w:t>
      </w:r>
    </w:p>
    <w:p>
      <w:r>
        <w:t>A/369/2011 - 14/20 -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6</w:t>
      </w:r>
    </w:p>
    <w:p>
      <w:r>
        <w:t>a) En l’espèce, lors de l’octroi initial de rente en février 2002, la SUVA avait notamment considéré que l’assuré ne pouvait plus exercer son activité habituelle de maçon, toutefois, il présentait une pleine capacité de travail dans une activité adaptée à ses limitations fonctionnelles, lesquelles avaient été énoncées par le Dr A_________, dans son rapport du mois de décembre 1997, et lesquelles concernaient les longs déplacements, les déplacements en terrain instable et les efforts au niveau du genou gauche. La profession de nettoyeur de bureau ou toute autre activité en position assise ou alternée debout et assise pouvait être envisagée. b) Avant de rendre la décision attaquée, la SUVA a soumis l’assuré à un examen confié au Dr E_______ (examen du 3 septembre 2009). Celui-ci a déterminé que la situation devait être considérée comme stabilisée, attendu que seule une PTG pouvait encore été envisagée, mais qu’au vu de l’âge de l’assuré et de ses plaintes supportables, elle n’était pas d’actualité. Le médecin a retenu que ses limitations fonctionnelles étaient les suivantes : les positions statiques, debout ou assise, le port de charges légères ou moyennes, la surcharge du genou gauche par des déplacements sur des distances moyennes, l’utilisation d’échelles ou d’échafaudages, les travaux accroupis, à genoux et en terrain instable. Si ces limitations étaient respectées, l’assuré pouvait exercer une activité lucrative à plein temps, en milieu clos, dans un atelier, avec une alternance des positions assise, debout et de courts de déplacement. L’exigibilité serait identique, après la mise en place d’une PTG avec bon résultat. La Cour de céans ne voit pas de motif de s’écarter de l’avis de ce médecin, dont le rapport remplit à l’évidence les critères jurisprudentiels pour que lui soit reconnue pleine valeur probante. Le Tribunal cantonal des assurances sociales, dans son arrêt du 19 octobre 2010 (ATAS/1068/2010), avait déjà conclu à sa pleine valeur et l’assuré ne conteste, au demeurant, pas ce point. Il convient ainsi de constater que l’état de santé de l’assuré s’est effectivement péjoré, en ce sens qu’il ne pouvait plus exercer une activité telle que celle de nettoyeur de bureau et que ses limitations fonctionnelles étaient plus étendues qu’auparavant, l’assuré devant également éviter les positions statiques debout ou assise et le port de charges légères ou moyennes.</w:t>
      </w:r>
    </w:p>
    <w:p>
      <w:r>
        <w:t>A/369/2011 - 15/20 -</w:t>
      </w:r>
    </w:p>
    <w:p>
      <w:r>
        <w:rPr>
          <w:b/>
        </w:rPr>
        <w:t>E. 7</w:t>
      </w:r>
    </w:p>
    <w:p>
      <w:r>
        <w:t>Il y a dès lors de lieu d’examiner les conséquences de cette péjoration sur la capacité de gain de l’assuré, et partant sur son degré d’invalidité.</w:t>
      </w:r>
    </w:p>
    <w:p>
      <w:r>
        <w:rPr>
          <w:b/>
        </w:rPr>
        <w:t>E. 8</w:t>
      </w:r>
    </w:p>
    <w:p>
      <w:r>
        <w:t>En vertu de l’art. 16 al. 2 LAA, le droit à l’indemnité journalière s'éteint dès que l'assuré a recouvré sa pleine capacité de travail, dès qu'une rente est versée ou dès que l'assuré décède. D'après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Aux termes de l'alinéa 3 de cette disposition légale, le Conseil fédéral édicte des prescriptions détaillées sur la naissance du droit aux rentes lorsque l'on ne peut plus attendre de la continuation du traitement médical une sensible amélioration de l'état de l'assuré, mais que la décision de l'assurance- invalidité quant à la réadaptation professionnelle intervient plus tard. En application de cette disposition, le Conseil fédéral a édicté l'art. 30 OLAA qui dispose que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(a), avec la décision négative de l'AI concernant la réadaptation professionnelle (b), avec la fixation de la rente définitive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(ATF 129 V 285). Dans un arrêt du 5 juillet 1990 (ATF 116 V 246), le Tribunal fédéral des assurances (ci-après TFA) a estimé que la rente transitoire fondée sur l'art. 30 OLAA doit être fixée d'après la méthode générale de comparaison des revenus. Toutefois, l'évaluation de l'invalidité intervient dans ce cas avant l'exécution éventuelle de mesures de réadaptation. Seule entre en considération, à cette date, l'activité qui peut raisonnablement être exigée de la part d'un assuré non encore réadapté, compte tenu de la situation équilibrée du marché du travail.</w:t>
      </w:r>
    </w:p>
    <w:p>
      <w:r>
        <w:t>A/369/2011 - 16/20 -</w:t>
      </w:r>
    </w:p>
    <w:p>
      <w:r>
        <w:rPr>
          <w:b/>
        </w:rPr>
        <w:t>E. 9</w:t>
      </w:r>
    </w:p>
    <w:p>
      <w:r>
        <w:t>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TFA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126 V 288 consid. 2d; ATF 119 V 474 consid. 4a; voir aussi RAMA 2000 n° U 406 p. 402 s. consid. 3, 2001 n° U 410 p. 73 s. consid. 3; arrêts T. du 13 janvier 2004 [I 564/02] et R. D. du 24 mars 2004 [U 288/03]).-</w:t>
      </w:r>
    </w:p>
    <w:p>
      <w:r>
        <w:t>A/369/2011 - 17/20 -</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11</w:t>
      </w:r>
    </w:p>
    <w:p>
      <w:r>
        <w:t>En l’espèce, la Chambre de céans a, par arrêt du 30 avril 2013, reconnu à l’assuré un degré d’invalidité de 52%. Elle s’est à cet égard fondée sur une capacité de travail de 100% dans une activité adaptée avec une diminution de rendement de 20%. La SUVA conteste devoir prendre cette diminution de rendement de 20% en considération, considérant qu’elle ne repose que sur les observations faites lors du stage auprès des EPI et non sur des conclusions médicales.</w:t>
      </w:r>
    </w:p>
    <w:p>
      <w:r>
        <w:rPr>
          <w:b/>
        </w:rPr>
        <w:t>E. 12</w:t>
      </w:r>
    </w:p>
    <w:p>
      <w:r>
        <w:t>Il y a lieu de rappeler que selon le rapport de fin de stage des EPI, l’assuré présentait une entière capacité de travail dans une activité lui permettant d’alterner les positions de travail et en particulier dans les professions d’ouvrier à l’établi ou dans le conditionnement léger et d’opérateur sur de petites machines de transformation. Les EPI ont tout d’abord déterminé qu’un réentrainement à l’effort devrait permettre au recourant de travailler à plein temps avec des rendements oscillant entre 80 et 90%, l’atteinte au membre inférieur gauche ne justifiant pas les rendements constatés (40 à 60%). Suite aux stages de réentrainement à l’effort effectués aux EPI, il est apparu que les rendements avaient effectivement pu être améliorés, et qu’ils se situaient entre 60 et 80% suivant les activités.</w:t>
      </w:r>
    </w:p>
    <w:p>
      <w:r>
        <w:t>A/369/2011 - 18/20 - Dans son arrêt du 30 avril 2013, la Chambre de céans a reproché à l’OAI de vouloir donner la préférence aux rapports des médecins, qui avaient retenu une pleine capacité de travail sans diminution de rendement, alors que le dossier lui avait précisément été renvoyé par le Tribunal cantonal des assurances sociales, alors compétent, pour déterminer concrètement l’activité que le recourant pouvait exercer, étant rappelé au surplus que le service de réadaptation de l’OAI avait lui- même estimé, en janvier 2011, que la mesure d’orientation professionnelle devait permettre d’établir les rendements qui étaient exigibles du recourant dans une activité adaptée à ses limitations fonctionnelles. La Chambre de céans, constatant que les EPI avaient dûment pris en considération les limitations fonctionnelles du recourant et que celles constatées rejoignent celles précédemment retenues par les différents médecins, que le recourant s’était montré consciencieux et assidu durant les stages de réentrainement à l’effort, qu’il ne résultait pas de ce rapport que les constatations et conclusions des EPI auraient été influencées par des éléments de nature subjective, que partant, les renseignements recueillis dans le cadre de la mesure d’orientation professionnelle complétaient de manière appropriée les données médicales, a considéré qu’il convenait de suivre les constatations et conclusions des EPI. Elle n’a toutefois pas retenu la diminution de rendement constatée par les EPI suite au stage de réentraînement, se situant entre 20 et 40% suivant les activités. Se fondant sur le fait qu’avant la période de réentraînement, les EPI avaient estimé qu’une diminution de rendement oscillant entre 10 et 20% pourrait être admise au vu des limitations fonctionnelles découlant uniquement de l’atteinte au genou gauche, qu’à la fin des deux stages de réentraînement de 16 et 10 jours, soit des stages relativement courts, les rendements de l’assuré avaient déjà progressé à 80% pour certaines activités, et que le médecin traitant avait admis le 25 octobre 2011 des diminutions de rendement de 20 à 40%, la Chambre de céans avait conclu, au degré de la vraisemblance prépondérante, à une diminution de rendement de 20%.</w:t>
      </w:r>
    </w:p>
    <w:p>
      <w:r>
        <w:rPr>
          <w:b/>
        </w:rPr>
        <w:t>E. 13</w:t>
      </w:r>
    </w:p>
    <w:p>
      <w:r>
        <w:t>En l’espèce, la SUVA considère, tout comme l’avait allégué l’OAI, que les observations faites dans le cadre du stage de l’assuré aux EPI n’étaient pas suffisantes pour infirmer les conclusions médicales contraires, soit celles des Drs E_______ et G_______. Or, dans son arrêt du 19 octobre 2010 (ATAS/1068/2010), le TCAS avait considéré que le rapport du Dr E_______ avait pleine valeur probante et que l’assuré présentait une entière capacité de travail dans une activité adaptée à ses limitations fonctionnelles, mais, estimant que la question de l’activité adaptée n’avait pas été adaptée à satisfaction de droit, avait renvoyé la cause pour instruction complémentaire à l’OAI pour qu’il mette en œuvre une mesure d’observation professionnelle, afin de déterminer concrètement quelles activités étaient exigibles du recourant, ce qui avait donné lieu aux stages aux EPI.</w:t>
      </w:r>
    </w:p>
    <w:p>
      <w:r>
        <w:t>A/369/2011 - 19/20 - Force dès lors est de constater que les motifs pour lesquels la Chambre de céans a retenu une diminution de rendement de 20% dans le cadre du litige opposant l’assuré à l’OAI doivent être repris tels quels s’agissant du présent litige.</w:t>
      </w:r>
    </w:p>
    <w:p>
      <w:r>
        <w:rPr>
          <w:b/>
        </w:rPr>
        <w:t>E. 14</w:t>
      </w:r>
    </w:p>
    <w:p>
      <w:r>
        <w:t>Dans son arrêt du 30 avril 2013, la Chambre de céans a fixé le degré d’invalidité sur la base d’un revenu sans invalidité de 77'165 fr. 55 et d’un revenu avec invalidité de 36'744 fr. 20, compte tenu d’un abattement supplémentaire de 25%. La SUVA considère qu’elle n’est pas liée par l’abattement de 25% retenu en matière d’AI, dans la mesure où l’âge de l’assuré a été pris en considération. Elle se réfère expressément à l’art. 28 al. 4 OLAA, lequel permet, selon elle, de faire abstraction de cet aspect dans l’évaluation de l’invalidité d’assurés âgés. La SUVA en conclut qu’un abattement de 15% serait suffisant, pour tenir compte de la nécessité de changer d’occupation.</w:t>
      </w:r>
    </w:p>
    <w:p>
      <w:r>
        <w:rPr>
          <w:b/>
        </w:rPr>
        <w:t>E. 15</w:t>
      </w:r>
    </w:p>
    <w:p>
      <w:r>
        <w:t>Il est vrai que selon l’art. 28 al. 4 OLAA, «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 Il appert toutefois en l’espèce que si la Chambre de céans a retenu un abattement de 25%, ce n’était pas en fonction de l’âge de l’assuré uniquement, mais aussi de ses limitations fonctionnelles, de ses années de service et de sa nationalité. A noter du reste que l’OAI s’était déclaré d’accord avec ce taux de 25%. Il n’y a dès lors pas lieu de considérer la situation sous un angle différent de celui de l’AI. Partant, le taux de 25% peut être pris en considération.</w:t>
      </w:r>
    </w:p>
    <w:p>
      <w:r>
        <w:rPr>
          <w:b/>
        </w:rPr>
        <w:t>E. 16</w:t>
      </w:r>
    </w:p>
    <w:p>
      <w:r>
        <w:t>Aussi le recours est-il admis, en ce sens que l’assuré a droit à une rente d’invalidité LAA sur la base d’un degré d’invalidité de 52% à compter du 1er mai 2007.</w:t>
      </w:r>
    </w:p>
    <w:p>
      <w:r>
        <w:t>A/369/2011 - 20/20 -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