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ATAS/1489/2009 vom 27. November 2009</w:t>
      </w:r>
    </w:p>
    <w:p>
      <w:r>
        <w:t>GE Cour de justice, 2009-11-27, FR</w:t>
      </w:r>
    </w:p>
    <w:p>
      <w:r>
        <w:rPr>
          <w:b/>
        </w:rPr>
        <w:t xml:space="preserve">Quelle: </w:t>
      </w:r>
      <w:r>
        <w:t>https://mcp.opencaselaw.ch/entscheid/ge_gerichte_ATAS_1489_2009</w:t>
      </w:r>
    </w:p>
    <w:p>
      <w:r>
        <w:t>FR: GE_GERICHTE ATAS/1489/2009 du 27 novembre 2009</w:t>
      </w:r>
    </w:p>
    <w:p>
      <w:r>
        <w:t>IT: GE_GERICHTE ATAS/1489/2009 del 27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A/2156/2008 - 14/22 -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14 mai 2008 est postérieure à l’entrée en vigueur de la LPGA et des modifications de la LAI relatives à la 4ème et à la 5ème révisions, entrées en vigueur respectivement en date du 1er janvier 2004 et du 1er janvier 2008. Par conséquent, d’un point de vue matériel, le droit éventuel à une rente d’invalidité à partir du mois de février 2006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Interjeté dans les formes et délai prévus par la loi, le présent recours est recevable (art. 56 à 61 LPGA).</w:t>
      </w:r>
    </w:p>
    <w:p>
      <w:r>
        <w:rPr>
          <w:b/>
        </w:rPr>
        <w:t>E. 4</w:t>
      </w:r>
    </w:p>
    <w:p>
      <w:r>
        <w:t>Est litigieuse en l’espèce la question de savoir si c’est à juste titre que l’OCAI a refusé à l’assurée une rente d’invalidité.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6</w:t>
      </w:r>
    </w:p>
    <w:p>
      <w:r>
        <w:t>Il y a lieu de préciser que dans un arrêt du 8 février 2006 (ATF 132 V 65), le Tribunal fédéral des assurances a considéré qu’il se justifiait, sous l’angle juridique, et en l’état actuel des connaissances, d’appliquer par analogie les principes</w:t>
      </w:r>
    </w:p>
    <w:p>
      <w:r>
        <w:t>A/2156/2008 - 15/22 - développés par la jurisprudence en matière de troubles somatoformes douloureux lorsqu’il s’agit d’apprécier le caractère invalidant d’une fibromyalgie. Il convient également, en présence d’une fibromyalgie, de poser la présomption que cette affection ou ses effets peuvent être surmontés par un effort de volonté raisonnablement exigible (ATF 131 V 49). Le Tribunal fédéral a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w:t>
      </w:r>
    </w:p>
    <w:p>
      <w:r>
        <w:t>A/2156/2008 - 16/22 -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7</w:t>
      </w:r>
    </w:p>
    <w:p>
      <w:r>
        <w:t>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A/2156/2008 - 17/22 - assurances sociales, un principe selon lequel l’administration ou le juge devrait statuer, dans le doute, en faveur de l’assuré (ATF 126 V 322 consid. 5a).</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w:t>
      </w:r>
    </w:p>
    <w:p>
      <w:r>
        <w:rPr>
          <w:b/>
        </w:rPr>
        <w:t>E. 10</w:t>
      </w:r>
    </w:p>
    <w:p>
      <w:r>
        <w:t>En l’espèce, l’OCAI a rendu une décision de refus de rente d’invalidité se fondant sur le rapport d’expertise du Dr H___________ du 4 janvier 2008, lequel a retenu les diagnostics de trouble dépressif récurrent, épisode actuel léger sans syndrome somatique, de trouble panique, de troubles mentaux et troubles du comportement liés à l’utilisation de sédatifs ou d’hypnotiques, de syndrome de dépendance et de fibromyalgie. Il a notamment relevé un fonctionnement intellectuel dans la norme et une absence de signes de fatigue, de ralentissement psychomoteur, de trouble de la mémoire ou de la concentration, d’anxiété, de tension, d’irritabilité, d’anhédonie, de retrait social et de symptomatologie hypomaniaque ou maniaque. L’expert a estimé qu’il n’existait pas de comorbidité psychiatrique importante liée à la fibromyalgie et que la majorité des autres critères retenus par la jurisprudence pour déterminer le caractère incapacitant de la fibromyalie n’étaient pas remplis. La capacité de travail de l’assurée était ainsi entière dans son activité antérieure et dans toutes autres activités correspondant à ses capacités et son niveau d’instruction. Si des périodes d’incapacité de travail avaient existé, elles avaient été brèves. Aucune diminution de rendement n’était à prendre en considération, en l’absence de ralentissement psychomoteur et de troubles de la concentration et de la mémoire. L’expert a considéré qu’au vu de ses troubles psychiques, de l’intensité réduite de l’affection actuelle, de son âge, de l’absence de personnalité pathologique ou de perte d’intégration sociale, l’assurée était capable de fournir un effort pour réintégrer le monde du travail. Des mesures de réadaptation professionnelle n’étaient pas envisageables, l’assurée n’étant pas motivée et étant convaincue d’être inapte au travail.</w:t>
      </w:r>
    </w:p>
    <w:p>
      <w:r>
        <w:rPr>
          <w:b/>
        </w:rPr>
        <w:t>E. 11</w:t>
      </w:r>
    </w:p>
    <w:p>
      <w:r>
        <w:t>a) Le Tribunal constate que ce rapport d’expertise, s’il présente a priori valeur probante au sens de la jurisprudence, contraste cependant avec le contenu de la plupart des autres rapports présents au dossier. b) En résumé, le Dr D___________, psychiatre traitant, a tout d’abord exposé que, depuis le mois novembre 2005, la capacité de travail de l’assurée était nulle, a</w:t>
      </w:r>
    </w:p>
    <w:p>
      <w:r>
        <w:t>A/2156/2008 - 18/22 - observé, en février 2007, un ralentissement psychomoteur, un trouble de la concentration et de la mémoire et, en septembre 2007, le fait que l’assurée était notamment aboulique, asthénique, ralentie, algique, présentait une clinophilie et que son état dépressif persistant était caractérisé par un ralentissement psychomoteur et une humeur instable. De surcroît, en avril 2008, il a signalé qu’elle était toujours déprimée, angoissée, agitée et relevé une grande difficulté d’adaptation se manifestant, dès l’apparition d’une nouvelle situation stressante, par de graves décompensations anxieuses sous forme d’agitation et de symptômes dissociatifs. Ce médecin a confirmé ses déclarations, par écrit et/ou par oral lors de l’audience d’enquêtes, retenu une structure de personnalité pathologique et exposé que les troubles, dont souffrait l’assurée, n’entraient pas dans une catégorie diagnostique précise. Les constatations du Dr D___________ apparaissent ainsi en totale contradiction avec l’exposé de l’expert. Il est vrai qu’il est le médecin traitant de l’assurée et qu’il y a lieu de tenir compte avec retenue du contenu de ses rapports, toutefois, ses constatations, qui sont en partie antérieures à la décision sur opposition, ont par la suite été confirmées par les médecins de la Clinique de la Métairie en juin 2008, en février et en juin 2009. c) L’assurée a en effet été hospitalisée, depuis le mois de mai 2005, à huit reprises en milieu psychiatrique, essentiellement à la Clinique, soit du 18 au 27 mai 2005, du 6 au 29 juin 2005, du 21 septembre au 28 octobre 2005, du 7 au 27 janvier 2006, quelques jours au mois de juin 2006 (HUG - CTB Carouge), du 20 mai au 16 juin 2008, du 30 novembre 2008 au 10 janvier 2009 et du 7 avril au 18 mai 2009. Si lors des précédentes hospitalisations, les vraisemblables causes de ses troubles psychiques n’avaient pas pu être déterminées, l’hospitalisation d’avril à mai 2009, lors de laquelle il a été procédé pour la première fois à des tests neuropsychiatriques et neurologiques, a permis de mettre en évidence un trouble neurologique, soit un syndrome parkinsonien akineto-rigide, ainsi que des troubles neuropsychologiques importants, soit notamment un ralentissement très prononcé à certaines tâches, des signes de dysfonctionnement exécutifs et des troubles de la mémoire et de la concentration. Ces troubles neuropsychologiques ont également été confirmés par les médecins du service de neurologie des HUG au mois de juillet 2009, lesquels ont souligné leur sévérité. Ils ont retenu les diagnostics d’état anxio-dépressif et de probable maladie neurodégénérative sous-jacente avec troubles neuropsychologiques frontaux et de status post-syndrome extrapyramidal sur neuroleptique, mais ont eu du mal à interpréter les résultats des tests neuropsychologiques. Il peut également être relevé que les neurologues des HUG ont considéré qu’il n’était pas envisageable que l’assurée reprenne d’activité lucrative.</w:t>
      </w:r>
    </w:p>
    <w:p>
      <w:r>
        <w:t>A/2156/2008 - 19/22 - Du reste, dans le rapport du mois juin 2008, la Dresse K___________, médecin, a eu de la difficulté, comme le Dr D___________, à établir un diagnostic précis et a attesté de l’atypicité de la symptomatologie de l’assurée. Elle a également confirmé l’instabilité de l’assurée dans un milieu social aux fluctuations événementielles variées et imprévisibles. d) Au vu de ce qui précède, le Tribunal de céans retient que la symptomatologie relevée par le Dr D___________ déjà en février et septembre 2007 est largement confirmée et appuyée par les rapports subséquents des psychiatres et des neurologues des HUG, qui en ont expliqué les raisons probables. Ainsi, bien que lesdits rapports aient été établis postérieurement à la décision, ils doivent en l’état être pris en considération, attendu que l’apparition des troubles neurologiques ne peut pas être datée au vu des documents présents au dossier. Les constatations ressortant desdits rapports semblent, qui plus est, étroitement liées à l’objet du litige et de nature à influencer l’appréciation de l’état de santé de l’assurée au moment où la décision a été rendue.</w:t>
      </w:r>
    </w:p>
    <w:p>
      <w:r>
        <w:rPr>
          <w:b/>
        </w:rPr>
        <w:t>E. 12</w:t>
      </w:r>
    </w:p>
    <w:p>
      <w:r>
        <w:t>Il apparaît ainsi que les atteintes psychiques de l’assurée ont pu être influencées par des troubles neurologiques importants, dont on ne connait d’ailleurs ni l’étiologie exacte ni le moment de survenance. Par ailleurs, au vu des conclusions et des constatations entièrement divergentes de l’expert et du psychiatre traitant, dont la position est confirmée par d’autres psychiatres, il ne saurait être statué définitivement ni sur son état de santé ni sur ses conséquences sur sa capacité de travail. Il y aura ainsi lieu de mettre en œuvre une expertise, qui devra porter sur les questions neurologiques et psychiatriques, étant précisé que l’assurée présente une fibromyalgie, dont le caractère incapacitant devra également être abordé par le psychiatre. L’expertise sera ainsi confiée au Docteur P___________ et à Monsieur Q___________, spécialistes en neurologie, neuropsychologie et psychiatrie, lesquels devront prendre tous renseignements nécessaires auprès des médecins ayant examiné l’assurée. Il sera précisé que le diagnostic de fibromyalgie, trouble rhumatologique, a été posé par le Dr F___________, rhumatologue, dans le cadre de l’instruction du dossier avec 18 points douloureux sur 18 et que ce diagnostic n’a jamais été contesté. La mise en œuvre d’un volet rhumatologique dans le cadre de l’expertise n’apparaît ainsi pas nécessaire.</w:t>
      </w:r>
    </w:p>
    <w:p>
      <w:r>
        <w:t>A/2156/2008 - 20/22 -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