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ATAS/1484/2009 vom 26. November 2009</w:t>
      </w:r>
    </w:p>
    <w:p>
      <w:r>
        <w:t>GE Cour de justice, 2009-11-26, FR</w:t>
      </w:r>
    </w:p>
    <w:p>
      <w:r>
        <w:rPr>
          <w:b/>
        </w:rPr>
        <w:t xml:space="preserve">Quelle: </w:t>
      </w:r>
      <w:r>
        <w:t>https://mcp.opencaselaw.ch/entscheid/ge_gerichte_ATAS_1484_2009</w:t>
      </w:r>
    </w:p>
    <w:p>
      <w:r>
        <w:t>FR: GE_GERICHTE ATAS/1484/2009 du 26 novembre 2009</w:t>
      </w:r>
    </w:p>
    <w:p>
      <w:r>
        <w:t>IT: GE_GERICHTE ATAS/1484/2009 del 26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w:t>
      </w:r>
    </w:p>
    <w:p>
      <w:r>
        <w:t>A/1727/2009 - 5/7 -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porte sur la question de savoir si les atteintes à la santé du recourant entraînent une incapacité de travail pouvant lui ouvrir droit, le cas échéant, à des prestations de l'assurance-invalidité.</w:t>
      </w:r>
    </w:p>
    <w:p>
      <w:r>
        <w:rPr>
          <w:b/>
        </w:rPr>
        <w:t>E. 5</w:t>
      </w:r>
    </w:p>
    <w:p>
      <w:r>
        <w:t>L’autorité administrative doit constater d’office les faits déterminants, c’est-à-dire toutes les circonstances dont dépend l’application des règles de droit (ATF 117 V 261 consid. 3 p. 263; T. LOCHER, Grundriss des Sozialversicherungsrecht, Bern 1994, t. 1, p. 438). 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6</w:t>
      </w:r>
    </w:p>
    <w:p>
      <w:r>
        <w:t>En l'espèce, il apparaît manifeste que des investigations médicales complémentaires sont nécessaires pour déterminer notamment quelles sont les conséquences des</w:t>
      </w:r>
    </w:p>
    <w:p>
      <w:r>
        <w:t>A/1727/2009 - 6/7 - séquelles dues à l’exposition du recourant aux solvants qu’il a eu à manipuler dans le cadre de son activité et quelles sont les répercussions sur sa capacité de travail. Un certain nombre d’investigations supplémentaires ont d’ailleurs été suggérées par l’IST au terme de son rapport d’expertise. L’intimé lui-même a fini par accueillir favorablement cette proposition. La cause n'étant, de l'avis du Tribunal de céans, pas suffisamment instruite pour permettre de se déterminer en connaissance de cause, il convient de donner suite à la proposition de l'intimé et de lui renvoyer la cause pour instruction complémentaire puis nouvelle décision.</w:t>
      </w:r>
    </w:p>
    <w:p>
      <w:r>
        <w:rPr>
          <w:b/>
        </w:rPr>
        <w:t>E. 7</w:t>
      </w:r>
    </w:p>
    <w:p>
      <w:r>
        <w:t>Le recourant qui obtient gain de cause a droit au remboursement de ses frais et dépens ainsi que de ceux de son mandataire. Or, tel est le cas en l’espèce dès lors que l’intimé a admis que l’instruction du dossier nécessitait d’être complétée.</w:t>
      </w:r>
    </w:p>
    <w:p>
      <w:r>
        <w:t>A/1727/2009 - 7/7 -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