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ATAS/147/2011 vom 7. Februar 2011</w:t>
      </w:r>
    </w:p>
    <w:p>
      <w:r>
        <w:t>GE Cour de justice, 2011-02-07, FR</w:t>
      </w:r>
    </w:p>
    <w:p>
      <w:r>
        <w:rPr>
          <w:b/>
        </w:rPr>
        <w:t xml:space="preserve">Quelle: </w:t>
      </w:r>
      <w:r>
        <w:t>https://mcp.opencaselaw.ch/entscheid/ge_gerichte_ATAS_147_2011</w:t>
      </w:r>
    </w:p>
    <w:p>
      <w:r>
        <w:t>FR: GE_GERICHTE ATAS/147/2011 du 7 février 2011</w:t>
      </w:r>
    </w:p>
    <w:p>
      <w:r>
        <w:t>IT: GE_GERICHTE ATAS/147/2011 del 7 febbraio 2011</w:t>
      </w:r>
    </w:p>
    <w:p>
      <w:pPr>
        <w:pStyle w:val="Heading2"/>
      </w:pPr>
      <w:r>
        <w:t>Erwägungen</w:t>
      </w:r>
    </w:p>
    <w:p>
      <w:r>
        <w:rPr>
          <w:b/>
        </w:rPr>
        <w:t>E. 1</w:t>
      </w:r>
    </w:p>
    <w:p>
      <w:r>
        <w:t>Par ordonnance du 22 décembre 2009, le Tribunal de céans a déclaré le recours recevable.</w:t>
      </w:r>
    </w:p>
    <w:p>
      <w:r>
        <w:rPr>
          <w:b/>
        </w:rPr>
        <w:t>E. 2</w:t>
      </w:r>
    </w:p>
    <w:p>
      <w:r>
        <w:t>S'agissant des modifications de la LAI du 6 octobre 2006 (5ème révision de la LAI), entrées en vigueur le 1er janvier 2008 (à l'exception de l'art. 68quater entré en vigueur rétroactivement le 1er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du 8 janvier 2009 à la lumière des anciennes dispositions de la LAI pour la période s'étendant jusqu'au 31 décembre 2007 et, le cas échéant, au regard des nouvelles dispositions de la LAI pour la période postérieure (ATF 130 V 332 consid. 2.2 et 2.3).</w:t>
      </w:r>
    </w:p>
    <w:p>
      <w:r>
        <w:rPr>
          <w:b/>
        </w:rPr>
        <w:t>E. 3</w:t>
      </w:r>
    </w:p>
    <w:p>
      <w:r>
        <w:t>En l'occurrence, il s'agit de déterminer le degré d'invalidité de la recourante.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Les atteintes à la santé psychique peuvent, comme les atteintes physiques, entraîner une invalidité au sens de l’art. 4 al. 1er LAI en liaison avec l’art. 8 LPGA. On ne considère pas comme des conséquences d’un état psychique maladif, donc pas</w:t>
      </w:r>
    </w:p>
    <w:p>
      <w:r>
        <w:t>A/345/2009 - 13/18 -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4</w:t>
      </w:r>
    </w:p>
    <w:p>
      <w:r>
        <w:t>a) 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w:t>
      </w:r>
    </w:p>
    <w:p>
      <w:r>
        <w:rPr>
          <w:b/>
        </w:rPr>
        <w:t>E. 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A/345/2009 - 14/18 -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w:t>
      </w:r>
    </w:p>
    <w:p>
      <w:r>
        <w:rPr>
          <w:b/>
        </w:rPr>
        <w:t>E. 6</w:t>
      </w:r>
    </w:p>
    <w:p>
      <w:r>
        <w:t>En l'espèce, le Tribunal de céans a ordonné une expertise psychiatrique et une expertise rhumatologique, complétée le 4 octobre 2010, lesquelles répondent aux critères jurisprudentiels précités pour qu'ils leur soit reconnu une pleine valeur probante. S'agissant de l'aspect psychiatrique, le Dr S__________ a conclu à une capacité de travail de 50 % dans une activité adaptée à l'état physique de la recourante en raison d'un trouble récurrent, épisode actuel moyen avec syndrome somatique. Le tableau</w:t>
      </w:r>
    </w:p>
    <w:p>
      <w:r>
        <w:t>A/345/2009 - 15/18 - clinique psychiatrique était le même que lors de l'examen de septembre 2007. Les parties reconnaissent la valeur probante de cette expertise. S'agissant de l'aspect rhumatologique, le Dr J__________ a conclu à une incapacité de travail totale de la recourante en raison de lombosciatalgies L5 gauche hyperalgiques chroniques sévères suite à une atteinte radiculaire L5 déficitaire (parésie) depuis 2004. L'expert a expliqué que dès 2001 des lombosciatalgies gauches étaient apparues avec, en août 2004, une sciatique parétique L5 et une hernie discale paramédiane gauche ayant nécessité une discectomie L5-S1 gauche en octobre 2004, une périduroscopie en septembre 2005, la mise en place d'une prothèse discale L5-S1 en mai 2006 et un stimulateur médullaire en juin 2007, remplacé en septembre 2007, ayant permis une amélioration temporaire des douleurs. Les douleurs avaient persisté malgré les traitements. Dès 2006, elles s'étendaient à la colonne cervicale, à l'épaule gauche et au genou gauche. La patiente se plaignait de douleurs permanentes. L'expert a requis un scanner lombaire et cervical effectué le 31 mars 2010 montrant que la prothèse discale L5-S1 provoquait d'importants artéfacts gênant l'analyse des racines L5 des deux côtés et du contenu intra- canalaire à ce niveau là. L'examen clinique confirmait l'atteinte lombaire et expliquait les plaintes. Il n'y avait pas de diagnostic de fibromyalgie, ni de syndrome somatoforme douloureux. Le traitement était adapté. La recourante prenait une dose maximum de morphine et avait bénéficié de toutes les possibilités thérapeutiques, sans succès; aucun autre traitement ne pouvait améliorer la situation clinique. Dans son complément d'expertise, le Dr J__________ a indiqué que des opérations à répétition entraînaient un état cicatriciel produisant une fibrose qui entourait les racines nerveuses et provoquait des douleurs ainsi qu'une instabilité (fragilisation des étages vertébraux supérieurs) entraînant elle-même des modifications de la posture et donc des douleurs dans tout le rachis. Quant à l'expertise du Dr T__________ elle était probante mais avait été pratiquée quelques mois après la pose du stimulateur médullaire, soit à une époque où l'assurée avait ressenti une amélioration clinique. L'avis du Dr L__________ va dans le même sens que l'expertise du Dr J__________ dès lors qu'il affirme que la fibrose post-opératoire explique les douleurs lombo-sciatalgiques gauches de la recourante, lesquelles sont objectivables et qu'il exclut que l'arthrose de l'articulation inter-apophysaire joue un rôle dans la genèse des douleurs. Le Dr K__________ a contesté la valeur probante de l'expertise du Dr J__________ et a relevé le 13 juillet 2010 qu'il existait une discordance entre les plaintes de cervicalgies sévères et les seules contractures des trapèzes, que la boiterie était probablement due aux problèmes lombaires et pouvait être traitée</w:t>
      </w:r>
    </w:p>
    <w:p>
      <w:r>
        <w:t>A/345/2009 - 16/18 - aisément par un traitement anti-inflammatoire comme recevait l'assurée, que les lombosciatiques L5 gauches chroniques sévères n'étaient pas expliquées par le scanner récent et pouvaient être rapportées à une arthrose postérieure moyennement sévère bilatérale au niveau L5-S1, avec une prédominance gauche (telle que décrite par scanner du 27 février 2007), laquelle pouvait être traitée avec anti- inflammatoire, myorelaxant couplé à un traitement physiothérapeutique. Par rapport à l'expertise de 2007, celle du Dr J__________ mentionnait en plus des contractures musculaires au niveau des trapèzes et des muscles paravertébraux lombaires qui pouvaient être traitées par des infiltrations, voire le réajustement du traitement médical dans le cadre d'une consultation de la douleur. Ces contractures étaient vraisemblablement dues à l'aggravation de l'arthrose vertébrale postérieure pouvant mimer une sciatique. Toutes les mesures médicales n'avaient pas été utilisées et les lombosciatalgies gauches s'étaient vraisemblablement améliorées depuis 2007. Le 22 octobre 2010, le Dr K__________ a estimé que la fibrose était purement hypothétique et ne pouvait être vérifiée alors que le scanner du 1er avril 2010 avait montré des signes d'arthrose modérée au niveau des articulations postérieures, tout comme celui du 27 février 2007 (arthrose postérieure moyennement sévère bilatérale au niveau L5-S1 avec une prédominance gauche), de sorte que les douleurs étaient vraisemblablement dues à cette arthrose vertébrale postérieure non- traitée. Finalement le 7 janvier 2011, le Dr K__________ a modifié son point de vue en admettant que l'infiltration sous scanner n'était pas exigible et considéré que l'on pouvait admettre l'existence d'une fibrose péri-radiculaire vraisemblable à plus de 50 % de probabilité mais mis en question le rôle de celle-ci dans les douleurs et requis une expertise pluridisciplinaire. La Cour de céans constate toutefois que l'appréciation du Dr K__________ n'est pas à même de remettre en cause les conclusions de l'expertise judiciaire. Ce dernier a d'ailleurs modifié son avis de telle façon qu'il a admis, d'une part, que la mesure thérapeutique de l'infiltration sous scanner n'était pas exigible et, d'autre part, l'existence d'une fibrose post-opératoire. En fin de compte, il a estimé qu'une instruction complémentaire était nécessaire par le biais d'une expertise pluridisciplinaire uniquement au motif que le rôle de la fibrose post-opératoire dans les douleurs ne pouvait pas être confirmé. A cet égard, l'expertise judiciaire, corroborée par l'avis du Dr L__________ a démontré, de façon convaincante et au degré de vraisemblance prépondérante, que la recourante présentait une fibrose post-opératoire entourant les racines nerveuses et des douleurs totalement incapacitantes. En particulier, le rôle dans la persistance des douleurs de l'arthrose de l'articulation inter-apophysaire a été écarté par les tests d'injections sous radioscopie d'anesthésiques locaux, de sorte que l'on peut exclure</w:t>
      </w:r>
    </w:p>
    <w:p>
      <w:r>
        <w:t>A/345/2009 - 17/18 - qu'un traitement de l'arthrose soit exigible et puisse avoir un effet quelconque sur les douleurs.</w:t>
      </w:r>
    </w:p>
    <w:p>
      <w:r>
        <w:rPr>
          <w:b/>
        </w:rPr>
        <w:t>E. 7</w:t>
      </w:r>
    </w:p>
    <w:p>
      <w:r>
        <w:t>Au vu de ce qui précède, il n'y a pas lieu d'ordonner une nouvelle expertise pluridisciplinaire. Il convient de suivre les conclusions de l'expertise du Dr J__________ et de reconnaître à l'assurée une incapacité de travail totale depuis le 31 août 2004 en raison de lombosciatiques L5 gauches chroniques sévères objectivables, de telle sorte que la réduction dès le 1er octobre 2007 de la rente entière d'invalidité à un quart de rente n'était pas justifiée. La décision litigieuse sera annulée et il sera dit que la recourante a droit à une rente entière d'invalidité depuis le 1er septembre 2005.</w:t>
      </w:r>
    </w:p>
    <w:p>
      <w:r>
        <w:rPr>
          <w:b/>
        </w:rPr>
        <w:t>E. 8</w:t>
      </w:r>
    </w:p>
    <w:p>
      <w:r>
        <w:t>a)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la Cour de céans est désormais soumise à des frais de justice, qui doivent se situer entre 200 fr. et 1'000 fr. (art. 69 al. 1 bis LAI). En l'espèce, le présent cas est soumis au nouveau droit (ch. II let. c des dispositions transitoires relatives à la modification du 16 décembre 2005). b) Un émolument de 200 fr. sera ainsi mis à la charge de l'intimé (art. 69 al. 1bis LAI), ainsi qu'une indemnité de 3'000 fr. en faveur de la recourante.</w:t>
      </w:r>
    </w:p>
    <w:p>
      <w:r>
        <w:t>A/345/2009 - 18/18 -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