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ATAS/1479/2008 vom 10. November 2006</w:t>
      </w:r>
    </w:p>
    <w:p>
      <w:r>
        <w:t>GE Cour de justice, 2006-11-10, FR</w:t>
      </w:r>
    </w:p>
    <w:p>
      <w:r>
        <w:rPr>
          <w:b/>
        </w:rPr>
        <w:t xml:space="preserve">Quelle: </w:t>
      </w:r>
      <w:r>
        <w:t>https://mcp.opencaselaw.ch/entscheid/ge_gerichte_ATAS_1479_2008</w:t>
      </w:r>
    </w:p>
    <w:p>
      <w:r>
        <w:t>FR: GE_GERICHTE ATAS/1479/2008 du 10 novembre 2006</w:t>
      </w:r>
    </w:p>
    <w:p>
      <w:r>
        <w:t>IT: GE_GERICHTE ATAS/1479/2008 del 10 novembre 2006</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l'occurrence, se pose tout d'abord la question de l'exequatur du jugement de divorce, lequel a été rendu par un juge français.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w:t>
      </w:r>
    </w:p>
    <w:p>
      <w:r>
        <w:t>A/2866/2008 - 5/7 -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La partie qui s’oppose à la reconnaissance et à l’exécution est entendue dans la procédure; elle peut y faire valoir ses moyens. Lorsqu’une décision étrangère est invoquée à titre préalable, l’autorité saisie peut statuer elle-même sur la reconnaissance". b) Il appartient ainsi au Tribunal de céans de statuer, à titre préjudiciel, sur la reconnaissance en Suisse du jugement de divorce rendu le 10 novembre 2006 par le Tribunal de grande instance de Thonon-les-Bains.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du 8 juin 2005, en la cause 6 S.438/2004; cf. également SJ 2002 II p. 397 et ss.). La reconnaissance d'une décision relative à la prévoyance professionnelle doit être compatible avec l'ordre public suisse (art. 27 al. 1 LDIP). Tel ne serait pas le cas</w:t>
      </w:r>
    </w:p>
    <w:p>
      <w:r>
        <w:t>A/2866/2008 - 6/7 -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4</w:t>
      </w:r>
    </w:p>
    <w:p>
      <w:r>
        <w:t>En l’espèce, le juge français a ordonné le partage selon la convention conclue par les parties, qui prévoit le partage par moitié des avoirs de prévoyance des époux, en précisant que le fond de prévoyance de M. M__________ versera 58'000 fr. au fond de prévoyance de Mme P__________. Le juge français a dès lors appliqué la règle ordinaire de partage. Dans la mesure où tant la demanderesse (courrier du 20 octobre 2008) que le demandeur (courrier du 7 septembre 2008) ont confirmé par devant le Tribunal de céans leur accord avec le montant retenu par le juge du divorce, soit le transfert de 58'000 fr. en faveur de Mme P__________, il y a lieu de considérer que la convention conclue par les époux et ratifiée par le juge français est conforme au droit suisse et n'a pas non plus besoin d'être complétée (art. 64 LDIP). Qui plus est, aucun des demandeurs ne s'oppose à la reconnaissance du jugement français. Enfin, les institutions de prévoyance concernées ont confirmé le caractère réalisable du partage. Par conséquent, il y a lieu de reconnaître le jugement de divorce et d'exécuter le partage ordonné par le juge français.</w:t>
      </w:r>
    </w:p>
    <w:p>
      <w:r>
        <w:rPr>
          <w:b/>
        </w:rPr>
        <w:t>E. 5</w:t>
      </w:r>
    </w:p>
    <w:p>
      <w:r>
        <w:t>Selon celui-ci, le fond de prévoyance du demandeur, soit la caisse de pension PRO, versera au fond de prévoyance de la demanderesse, soit la Fondation collective Vaudoise assurances, le montant de 58'000 fr.</w:t>
      </w:r>
    </w:p>
    <w:p>
      <w:r>
        <w:rPr>
          <w:b/>
        </w:rPr>
        <w:t>E. 6</w:t>
      </w:r>
    </w:p>
    <w:p>
      <w:r>
        <w:t>Conformément à la jurisprudence, depuis le jour déterminant pour le partage, - soit en l'espèce le 31 décembre 2006 selon le jugement de divorce français -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A/2866/2008 - 7/7 -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