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ATAS/1477/2009 vom 26. November 2009</w:t>
      </w:r>
    </w:p>
    <w:p>
      <w:r>
        <w:t>GE Cour de justice, 2009-11-26, FR</w:t>
      </w:r>
    </w:p>
    <w:p>
      <w:r>
        <w:rPr>
          <w:b/>
        </w:rPr>
        <w:t xml:space="preserve">Quelle: </w:t>
      </w:r>
      <w:r>
        <w:t>https://mcp.opencaselaw.ch/entscheid/ge_gerichte_ATAS_1477_2009</w:t>
      </w:r>
    </w:p>
    <w:p>
      <w:r>
        <w:t>FR: GE_GERICHTE ATAS/1477/2009 du 26 novembre 2009</w:t>
      </w:r>
    </w:p>
    <w:p>
      <w:r>
        <w:t>IT: GE_GERICHTE ATAS/1477/2009 del 26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w:t>
      </w:r>
    </w:p>
    <w:p>
      <w:r>
        <w:t>A/3778/2008 - 8/12 -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w:t>
      </w:r>
    </w:p>
    <w:p>
      <w:r>
        <w:t>A/3778/2008 - 9/12 -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A/3778/2008 - 10/12 -</w:t>
      </w:r>
    </w:p>
    <w:p>
      <w:r>
        <w:rPr>
          <w:b/>
        </w:rPr>
        <w:t>E. 6</w:t>
      </w:r>
    </w:p>
    <w:p>
      <w:r>
        <w:t>En l’espèce, la recourante fait grief à l'administration d'avoir considéré qu’elle est capable d’exercer à plein temps une activité adaptée. Se référant aux avis des Drs A__________ et F__________, elle fait valoir qu’en l'absence de formation supplémentaire et compte tenu de ses limitations fonctionnelles, elle subit une perte de gain permanente de 20% au moins car c’est précisément dans le cadre des travaux simples et répétitifs envisagés par l'OCAI que sa capacité est la plus diminuée. Selon elle, de telles activités ne permettraient d’éviter ni de longues stations assise ou debout ni le port de charges, de sorte qu’elle ne pourrait les exercer qu’à raison de 50% au plus. Dans le cas présent, les atteintes à la santé de la recourante ne sont pas contestées et les diagnostics sont établis de manière précise, tout comme les limitations de la recourante. Il est ainsi admis qu’elle doit désormais éviter la station debout prolongée, le port de charges, les positions impliquant une flexion des genoux., les montées et descentes répétées d'escaliers, le travail en hauteur et la marche sur terrain accidenté et que, dans ces conditions, son activité précédente de dame de buffet est désormais inenvisageable. Seule est litigieuse la question du taux d’occupation de l’assurée dans une activité répondant à ces critères et le revenu qu’elle pourrait ainsi réaliser. A cet égard, il convient de se référer en priorité à l’avis du Dr A__________, puisqu’ainsi que le relevait le Dr G__________, de l'hôpital de La Tour, seul un spécialiste est en l’occurrence capable de porter un jugement pertinent. Or, le Dr A__________ a indiqué, dans son courrier du 18 septembre 2008 encore, que, dans une activité adaptée, la capacité de sa patiente atteindrait probablement 100%. Ce n’est qu’en date du 15 octobre 2008, soit postérieurement à la décision litigieuse, que le médecin a fait état d’une aggravation de l’état de sa patiente, aggravation confirmée lors de son audition devant le Tribunal de céans. Cette aggravation sortant du cadre de l’objet du litige, il conviendra que la recourante dépose une nouvelle demande. En effet, le Tribunal de céans n’est saisi que de l’examen de la période antérieure au 18 septembre 2008. Or, force est de constater, s’agissant de cette période, que, même en appliquant la réduction maximale de 25% pour tenir compte des limitations de la recourante, du fait que les travaux nécessitant une motricité fine sont difficiles et de ses difficultés linguistiques, la comparaison des gains n’aboutit qu’à un degré d’invalidité de 14,7 %, insuffisant pour ouvrir droit à une rente ou même à des mesures de réadaptation. A cet égard, on ajoutera que le fait que le revenu d'invalide ait été déterminé en se référant au salaire mensuel brut (valeur centrale), tel qu'il résulte de l'Enquête sur la structure des salaires de l'Office fédéral de la statistique (ESS) pour des activités simples et répétitives, toutes branches économiques confondues, ne permet pas de conclure que la situation effective de l’assurée n'a pas été convenablement élucidée.</w:t>
      </w:r>
    </w:p>
    <w:p>
      <w:r>
        <w:t>A/3778/2008 - 11/12 - Il aurait certes été préférable, afin de coller au plus près de la réalité, de déterminer d'abord avec précision quelles activités l'assurée est encore en mesure d'exercer malgré son handicap, en les spécifiant clairement. Toutefois, dans la mesure où le montant retenu représente le salaire mensuel brut (valeur centrale) pour des postes de travail qui ne requièrent pas de qualifications professionnelles particulières, on peut admettre, que la plupart de ces emplois sont, abstraction faite des limitations éprouvées par la recourante, conformes aux aptitudes de celle-ci. Au regard du large éventail d'activités simples et répétitives que recouvrent les secteurs de la production et des services, on doit convenir qu'un nombre significatif de ces activités sont légères et adaptées à son handicap et que le salaire statistique qui a été pris en considération est donc représentatif de ce que pourrait gagner l’intéressée, compte tenu d'un marché équilibré du travail (au sens de l'art. 28 al. 2 aLAI ou 16 LPGA), en mettant à profit sa pleine capacité de travail dans une activité adaptée. En effet, on n’entend pas forcément par « activités simples et répétitives » des activités physiques telles que l’entend la recourante mais simplement qu’une formation particulière n’est pas demandée. Eu égard aux considérations qui précèdent, le recours est rejeté, étant rappelé qu’il est loisible à la recourante de déposer une nouvelle demande pour l’aggravation invoquée par le Dr A__________, postérieure à la décision litigieuse.</w:t>
      </w:r>
    </w:p>
    <w:p>
      <w:r>
        <w:t>A/3778/2008 - 12/12 -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