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ATAS/1476/2012 vom 10. Dezember 2012</w:t>
      </w:r>
    </w:p>
    <w:p>
      <w:r>
        <w:t>GE Cour de justice, 2012-12-10, FR</w:t>
      </w:r>
    </w:p>
    <w:p>
      <w:r>
        <w:rPr>
          <w:b/>
        </w:rPr>
        <w:t xml:space="preserve">Quelle: </w:t>
      </w:r>
      <w:r>
        <w:t>https://mcp.opencaselaw.ch/entscheid/ge_gerichte_ATAS_1476_2012</w:t>
      </w:r>
    </w:p>
    <w:p>
      <w:r>
        <w:t>FR: GE_GERICHTE ATAS/1476/2012 du 10 décembre 2012</w:t>
      </w:r>
    </w:p>
    <w:p>
      <w:r>
        <w:t>IT: GE_GERICHTE ATAS/1476/2012 del 10 dicembre 2012</w:t>
      </w:r>
    </w:p>
    <w:p>
      <w:pPr>
        <w:pStyle w:val="Heading2"/>
      </w:pPr>
      <w:r>
        <w:t>Erwägungen</w:t>
      </w:r>
    </w:p>
    <w:p>
      <w:r>
        <w:rPr>
          <w:b/>
        </w:rPr>
        <w:t>E. 1</w:t>
      </w:r>
    </w:p>
    <w:p>
      <w:r>
        <w:t>Conformément à l'art. 134 al. 1 let. a ch. 5 de la loi sur l'organisation judiciaire (LOJ; RS E 2 05), la Chambre des assurances sociales de la Cour de justice connaît en instance unique des contestations prévues à l’art. 56 de la loi fédérale sur la partie générale du droit des assurances sociales (LPGA; RS 830.1) relatives à la loi fédérale sur l'assurance-accidents (LAA; RS 832.20). Elle est ainsi compétente pour connaître du cas d’espèce. Le recours a été formé, compte tenu des féries estivales, dans le délai et selon la forme prescrits (art. 38 al. 4 let. b, art. 60 et 61 let. b LPGA). L'intimée l'a transmis à la Cour de céans, conformément à l'art. 30 LPGA.</w:t>
      </w:r>
    </w:p>
    <w:p>
      <w:r>
        <w:rPr>
          <w:b/>
        </w:rPr>
        <w:t>E. 2</w:t>
      </w:r>
    </w:p>
    <w:p>
      <w:r>
        <w:t>Est litigieuse la question de savoir si le sinistre survenu le 16 février 2012 peut être qualifié d'accident.</w:t>
      </w:r>
    </w:p>
    <w:p>
      <w:r>
        <w:rPr>
          <w:b/>
        </w:rPr>
        <w:t>E. 3</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Ces conditions sont cumulatives; il suffit que l’une d’entre elles fasse défaut pour que l’événement ne puisse pas être qualifié d’accident et que, cas échéant, l’atteinte dommageable soit qualifiée de maladie (ATF 129 V 404 consid. 2.1; 122 V 232 consid. 1). La responsabilité de l'assureur-accident s'étend, en principe, à toutes les conséquences dommageables qui se trouvent dans un rapport de causalité naturelle et adéquate avec l'événement assuré (ATF 125 V 461 consid. 5a; 119 V 337 consid. 1).</w:t>
      </w:r>
    </w:p>
    <w:p>
      <w:r>
        <w:t>A/2837/2012 - 4/7 -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(ATF 129 V 181 consid. 3.1, 406 consid. 4.3.1; 119 V 337 consid. 1; 118 V 289 consid. 1b). Par ailleurs, le seul fait que des symptômes douloureux ne se sont manifestés qu'après la survenance d'un accident ne suffit pas à établir un rapport de causalité naturelle avec cet accident (raisonnement «post hoc, ergo propter hoc»; cf. ATF 119 V 341 consid. 2b/bb; RAMA 1999 no U 341 p. 408 sv., consid. 3b). Il convient en principe d'en rechercher l'étiologie et de vérifier, sur cette base, l'existence du rapport de causalité avec l'événement assuré. b. Le Conseil fédéral a édicté l'art. 9 al. 2 de l'Ordonnance sur l'assurance accidents du 20 décembre 1982 (OLAA), sur délégation législative prévue par l'art. 6 al. 2 LAA. Cette disposition prévoit que certaines lésions sont assimilées à un accident, même si elles ne sont pas provoquées par un facteur extérieur de caractère extraordinaire. Il s'agit d'atteintes dont la preuve d'une cause extérieure extraordinaire est souvent très difficile à rapporter et qui se situent à la limite entre l'accident et la maladie (FRESARD/MOSER-SZELESS, L'assurance-accidents obligatoire, in : Schweizerisches Bundesverwaltungsrecht, Vol. XIV [MEYER, édit.], 2ème éd., Bâle, Genève, Munich 2007, p. 874). Figurent notamment parmi ces atteintes les fractures, les déboîtements d'articulations, les déchirures du ménisque ou de tendons, ainsi que les lésions de ligaments. La jurisprudence a précisé à propos de cette disposition que l'exception ne concerne que le caractère extraordinaire de la cause extérieure, toutes les autres conditions constitutives de la notion d'accident devant être réalisées (FRESARD/MOSER-SZELESS, op. cit., n° 103, p. 875; et les références citées).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147). c.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A/2837/2012 - 5/7 - comme une hypothèse possible. Parmi tous les éléments de fait allégués ou envisageables, le juge doit retenir ceux qui lui paraissent les plus probables (ATF 126 V 360 consid. 5b; 125 V 195 consid. 2). En matière d'assurance-accidents, les explications d'un assuré sur le déroulement d'un fait allégué sont au bénéfice d'une présomption de vraisemblance (ATF non publié 8C_422/2011 du 5 juin 2012, consid. 5.2). Toutefois,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4</w:t>
      </w:r>
    </w:p>
    <w:p>
      <w:r>
        <w:t>La Cour relève, en premier lieu, que la bonne foi du recourant n'est nullement en cause. Se pose uniquement la question de savoir si les douleurs qu'il a ressenties lors de l'entraînement de football le 16 février 2012 peuvent être qualifiées, d'un point de vue légal, d'un accident. A cet égard, il faut constater que les examens médicaux pratiqués sur le recourant, singulièrement l'IRM du 27 février 2012, ne mettent en évidence aucune lésion au genou gauche. Il n'y a en particulier aucune lésion des ligaments, des tendons ou du ménisque. L'examen précité a uniquement relevé des atteintes dégénératives ainsi qu'un petit kyste. De par leur nature, ces atteintes ne peuvent être consécutives au traumatisme subi le 16 février 2012. Si, certes, le médecin interne des HUG a émis, lors de la consultation du 21 février 2012, l'hypothèse d'une lésion du ménisque interne, il a clairement précisé que cette hypothèse devait être confirmée par une IRM. Or, comme cela vient d'être exposé, l'IRM subséquente a infirmé ce diagnostic. Dès lors qu'aucune lésion traumatique n'a été constatée, une des conditions pour retenir l'existence d'un évènement assuré au sens de l'art. 4 LPGA, à savoir une atteinte dommageable, n'est pas réalisée. Par ailleurs, il ne ressort pas des explications du recourant qu'il aurait subi, le 16 février 2012, une atteinte extérieure et extraordinaire. Il a en effet expliqué tant dans sa déclaration de sinistre que dans son opposition avoir ressenti des douleurs alors qu'il effectuait des chassés latéraux rapides. Il n'a fait état d'aucun facteur extérieur ni extraordinaire, qui serait survenu à l'occasion de cet exercice d'échauffement. Ce n'est que dans son recours que l'assuré évoque qu'il aurait glissé. Or, comme exposé plus haut (consid. 3a), il convient d'accorder plus de poids aux premières déclarations de l'assuré. Cela se justifie d'autant plus en l'espèce que les deux premières explications données par le recourant concordent. En effet, tant dans la déclaration de sinistre que dans l'opposition, le recourant a indiqué qu'il avait ressenti des douleurs alors qu’il effectuait des pas chassés latéraux; ces déclarations n'évoquent aucune glissade ni aucun autre élément</w:t>
      </w:r>
    </w:p>
    <w:p>
      <w:r>
        <w:t>A/2837/2012 - 6/7 - extérieur ou extraordinaire. Quand bien même il est exact que l'espace laissé pour compléter la déclaration de sinistre est restreint, il convient de constater, vu les caractères typographiques utilisés par le recourant pour la remplir, qu'il disposait de la place pour faire état d'une glissade. Par ailleurs, la question de l'espace à disposition pour fournir des explications ne se pose pas pour l'opposition formée par le recourant. Or, dans ce document également, l'assuré n'a pas mentionné l'existence d'un facteur extérieur et extraordinaire. Il a uniquement fait état de douleurs ressenties lors de l'entrainement. Partant, la Cour retient, sous l'angle de la vraisemblance prépondérante, que le recourant n'a pas glissé lors de l'exercice d'échauffement ni été exposé à un autre facteur extérieur ou extraordinaire. Pour ce motif également, l'existence d'un accident au sens de l'art. 4 LPGA doit être niée. Il y a encore lieu de relever qu'il n'y a pas de raison de douter de l'allégation du recourant selon laquelle il n'a jamais souffert de son genou gauche avant le sinistre. Toutefois, le seul fait que des symptômes douloureux ne se sont manifestés qu'après la survenance d'un accident ne suffit pas à établir, en tant que tel, un rapport de causalité naturelle avec cet accident (raisonnement «post hoc, ergo propter hoc»; cf. ATF 119 V 335 consid. 2b/bb; RAMA 1999 no U 341 p. 408 sv., consid. 3b). Enfin, le recourant n'a subi aucune lésion entrant dans la liste des atteintes figurant à l'art. 9 al. 2 OLAA, pour lesquelles le facteur du caractère extraordinaire n'est pas requis. En outre, même dans l'hypothèse où il conviendrait d'admettre l'existence d'une lésion assimilée au sens de la disposition précitée, il n'en demeure pas moins que les symptômes d'une telle lésion doivent avoir été, au moins, déclenchés par un facteur extérieur. Comme cela vient toutefois d'être expliqué, un tel facteur fait cependant défaut en l'espèce. En conclusion, l'intimée a refusé à bon droit ses prestations au titre d'assureur- accidents. Le cas relève ainsi de l'assurance-maladie du recourant. Cette dernière, à qui la décision du 2 avril 2012 a été notifiée, n'a d'ailleurs pas fait usage de son droit de recours, démontrant ainsi qu'elle partage l'avis de l'intimée quant au caractère non accidentel du sinistre du 16 février 2012.</w:t>
      </w:r>
    </w:p>
    <w:p>
      <w:r>
        <w:rPr>
          <w:b/>
        </w:rPr>
        <w:t>E. 5</w:t>
      </w:r>
    </w:p>
    <w:p>
      <w:r>
        <w:t>La procédure étant gratuite, il n'est pas perçu de frais. * * *</w:t>
      </w:r>
    </w:p>
    <w:p>
      <w:r>
        <w:t>A/2837/2012 - 7/7 -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