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ATAS/1475/2012 vom 10. Dezember 2012</w:t>
      </w:r>
    </w:p>
    <w:p>
      <w:r>
        <w:t>GE Cour de justice, 2012-12-10, FR</w:t>
      </w:r>
    </w:p>
    <w:p>
      <w:r>
        <w:rPr>
          <w:b/>
        </w:rPr>
        <w:t xml:space="preserve">Quelle: </w:t>
      </w:r>
      <w:r>
        <w:t>https://mcp.opencaselaw.ch/entscheid/ge_gerichte_ATAS_1475_2012</w:t>
      </w:r>
    </w:p>
    <w:p>
      <w:r>
        <w:t>FR: GE_GERICHTE ATAS/1475/2012 du 10 décembre 2012</w:t>
      </w:r>
    </w:p>
    <w:p>
      <w:r>
        <w:t>IT: GE_GERICHTE ATAS/1475/2012 del 10 dicembre 2012</w:t>
      </w:r>
    </w:p>
    <w:p>
      <w:pPr>
        <w:pStyle w:val="Heading2"/>
      </w:pPr>
      <w:r>
        <w:t>Erwägungen</w:t>
      </w:r>
    </w:p>
    <w:p>
      <w:r>
        <w:rPr>
          <w:b/>
        </w:rPr>
        <w:t>E. 1</w:t>
      </w:r>
    </w:p>
    <w:p>
      <w:r>
        <w:t>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Elle est donc compétente à raison de la matière. Formé dans le délai et la forme prescrits (art. 60 et 61 let. b LPGA), le recours est recevable. Au vu des éléments recueillis, la Cour s'estime suffisamment renseignée pour trancher le litige. Il ne sera donc pas procédé aux actes d'instructions complémentaires sollicités par le recourant.</w:t>
      </w:r>
    </w:p>
    <w:p>
      <w:r>
        <w:rPr>
          <w:b/>
        </w:rPr>
        <w:t>E. 2</w:t>
      </w:r>
    </w:p>
    <w:p>
      <w:r>
        <w:t>Le litige porte sur le droit du recourant à une rente de l'assurance-invalidité dans le contexte d'une nouvelle demande de prestations. a. Lorsque la rente a été refusée une première fois parce que le degré d'invalidité était insuffisant, la nouvelle demande ne peut être examinée que si l'assuré rend plausible que son invalidité s'est modifiée de manière à influencer ses droits (art. 87 al. 3 et 4 RAI;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comme en l'espèce, l'administration est entrée en matière sur la nouvelle demande (ATF 109 V 108 consid. 2b).</w:t>
      </w:r>
    </w:p>
    <w:p>
      <w:r>
        <w:t>A/1260/2012 - 6/11 - b.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c.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L’assuré a droit à une rente entière s’il est invalide à 70 % au moins, à un trois- quarts de rente s'il est invalide à 60 % au moins, à une demi-rente s’il est invalide à 50 % au moins, ou à un quart de rente s’il est invalide à 40 % au moins (art. 28 al. 2 LAI). Les atteintes à la santé psychique peuvent, comme les atteintes physiques, entraîner une invalidité au sens de l'art. 4 al. 1 LAI en liaison avec l'art. 8 LPGA. L’atteinte à la santé n’est pas à elle seule déterminante; elle ne sera prise en considération que dans la mesure où elle entraîne une incapacité de travail ayant des effets sur la capacité de gain de l’assuré (ATFA non publié I 654/00 du 9 avril 2001, consid. 1).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w:t>
      </w:r>
    </w:p>
    <w:p>
      <w:r>
        <w:t>A/1260/2012 - 7/11 -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pour que l'on puisse parler d'invalidité. En revanche, là où le médecin ne relève pour l'essentiel que des éléments qui trouvent leur explication et leur source dans le champ socioculturel ou psychosocial, il n'y a pas d'atteinte à la santé à caractère invalidant (ATF 127 V 294 consid. 5a; ATF np 9C 144/2010 du 10 décembre 2010).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Pour évaluer le taux d'invalidité, le revenu que l'assuré aurait pu obtenir s'il n'était pas invalide est ainsi comparé avec celui qu'il pourrait obtenir en exerçant l'activité qui peut raisonnablement être exigée de lui après les traitements et les mesures de réadaptation, sur un marché du travail équilibré (art. 16 LPGA et art. 28 al. 2 LAI). d. Pour pouvoir calculer le degré d'invalidité, le juge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3.a En l'espèce, le dernier examen circonstancié des faits pertinents pour déterminer le droit à une rente d'invalidité a eu lieu en 2005 où le recourant a été soumis à une expertise bi-disciplinaire. Les diagnostics retenus étaient des lombalgies chroniques persistantes non déficitaires, une discopathie L5-S1 avec protrusion discale voire hernie pré-ligamentaire médiane-paramédianne G et ébauche de spondylarthrose</w:t>
      </w:r>
    </w:p>
    <w:p>
      <w:r>
        <w:t>A/1260/2012 - 8/11 - ainsi que d'une importante dysbalance musculaire, des cervico-scapulalgies G dans le cadre d'un trouble rachidien et une discopathie C5-C6 avec hernie discale postéro-latérale G s'éteignant dans le trou de conjugaison C5-C6, non déficitaire et un trouble de l'adaptation avec perturbations mixtes des émotions et des conduites, en rémission. Les limitations fonctionnelles étaient les suivantes: pas de position en rotation ou en extension maximale de la colonne cervicale ni de position statistique prolongée debout ou en porte-à-faux, pas de port de charges lourdes. Dans une activité adaptée, la capacité de travail était entière. En 2003 déjà, des observations similaires avaient été faites par le Dr H__________ dans son rapport du 9 septembre 2003. Ce radiologue avait, notamment, relevé des discopathies étagées des espaces C3-C4, C4-C5, C5-C6 et C6-C7; ces discopathies se traduisaient par des protrusions discales. Le Dr J__________, spécialiste en médecine interne et affections rhumatologiques avait relevé, également en 2003, les douleurs lombaires en L4-L5. La Dresse I__________, de la division de rhumatologie des HUG, avait, en 2003, observé une arthrose L5-S1 et de douleurs de L4 à S1. Les limitations fonctionnelles relevées par le Dr J__________ étaient similaires à celles, précitées, retenues par le Dr A___________, à savoir la nécessité d'alterner les positions assis et debout, d'éviter l'inclinaison du buste, les mouvements des membres ou du dos occasionnels ou répétitifs, le travail en hauteur, le port de charges et les déplacements sur sol irrégulier. Lors du stage effectué à l'atelier de réadaptation préprofessionnelle du 3 avril au 3 mai 2006, où le recourant avait été amené à transférer des dossiers pour les archiver en position debout et à démonter des appareils électriques et électroniques en positions alternées, les limitations sus- décrites avaient été observées; le recourant avait tendance à "se bloquer" le bras gauche lorsqu'il l'utilisait en force au travail répété au-dessus de l'épaule.</w:t>
      </w:r>
    </w:p>
    <w:p>
      <w:r>
        <w:t>Dans son rapport du 16 janvier 2012, le Dr C___________ fait état de lombalgies chroniques sur protrusions discales L4-L5 et L5-S1 et de cervicalgies chroniques sur C5-C6. La Dresse E___________ constate des hernies discales et des lombalgies étagées provoquant un syndrome algique important. Ces observations ne mettent pas en évidence des affections nouvelles sur le plan somatologique.</w:t>
      </w:r>
    </w:p>
    <w:p>
      <w:r>
        <w:t>Par ailleurs, aucun élément nouveau ne vient modifier les limitations fonctionnelles déjà constatées en 2005, à savoir le fait d'éviter des positions en rotation ou en extension maximale de la colonne cervicale, des positions statiques prolongées debout ou en porte-à-faux ainsi que le port de charges. Le stage effectué en avril et mai 2006 n'a fait que confirmer ces limitations; il n'en a pas mis en exergue d'autres.</w:t>
      </w:r>
    </w:p>
    <w:p>
      <w:r>
        <w:t>Partant, les atteintes physiques constatées en 2005 ne se sont pas aggravées, ni leur impact sur les limitations fonctionnelles.</w:t>
      </w:r>
    </w:p>
    <w:p>
      <w:r>
        <w:t>A/1260/2012 - 9/11 - b. Sur le plan psychique, un trouble de l'adaptation avec perturbations mixtes des émotions et des conduites avait déjà été signalé en 2005. En 2012, la Dresse E___________ mentionne un état dépressif sévère et le Dr C___________ un état dépressif, de la fatigue, des insomnies ainsi qu'un manque de concentration. Ces deux médecins ne sont toutefois pas psychiatre. Le psychiatre-traitant du recourant retient en janvier 2012 le diagnostic de trouble de l'adaptation, avec réaction mixte anxieuse et dépressive. Il qualifie le diagnostic de léger, n'influençant pas la capacité de travail. L'affection se manifestait par une humeur déprimée, une perturbation du sommeil, un manque de concentration et de la fatigabilité. Dans son courrier du 15 octobre 2012, le Dr D___________ indique que l'état psychique de son patient n'est pas modifié depuis janvier 2012. En mars 2012, la symptomatologie anxio-dépressive était d'intensité légère à moyenne. Le conseil de l'assuré soutient que le dossier fait ressortir des difficultés relationnelles entre ce praticien et son client. Cette affirmation n'est cependant pas corroborée par le dossier. D'une part, le courrier du Dr D___________ ne fait que décrire les observations faites par ce spécialiste, à savoir que le patient n'était venu que trois fois à sa consultation depuis le 10 octobre 2011, qu'il se montrait peu compliant et peu collaborant. Le projet de consultation n'était pas clair, ce d'autant plus que le patient n'avait pas mentionné ses multiples demandes de rentes AI depuis 2000. Il n'apparaît pas de ce courrier que la relation entre le Dr D___________ et le recourant était difficile ou conflictuelle. D'autre part, dans ses déterminations du 10 octobre 2012, le recourant indique que depuis le mois de janvier 2012, il s'était rendu une dizaine de fois à la consultation du Dr D___________. Or, si le recourant rencontrait des difficultés relationnelles avec son médecin, il n'aurait pas poursuivi les consultations auprès de ce spécialiste, à tout le moins pas pendant une si longue période. Par ailleurs, les renseignements fournis par le Dr D___________ ne sont pas contradictoires. Il a, certes, qualifié le diagnostic psychiatrique de léger en janvier 2012 et indiqué en octobre 2012 qu'il avait été d'intensité légère à moyenne en mars 2012. Cette nuance ne permet cependant pas de considérer que l'avis du Dr D___________ ne peut être pris en considération. De toute manière, que l'on retienne un état dépressif d'intensité légère ou d'intensité légère à moyenne, le degré de gravité de cet état n'atteint en tout cas pas celui requis pour admettre que par sa gravité, son acuité et sa durée, il influe sur la capacité de travail. Le Dr D___________ a d'ailleurs relevé que la capacité de travail n'était pas affectée par le trouble psychique. Or, seule une atteinte psychique ayant des répercussion sur la capacité de travail ne peut être prise en compte. Aucune aggravation sur le plan psychique n'étant survenue depuis l'examen de 2005, l'intimé a, à juste titre, considéré que la capacité de travail n'était pas modifiée depuis lors. c. En revanche, le diagnostic de maladie de Basedow et la suspicion de cancer thyroïdien constituent des affections nouvelles. Selon la Dresse E___________,</w:t>
      </w:r>
    </w:p>
    <w:p>
      <w:r>
        <w:t>A/1260/2012 - 10/11 - celles-ci n'influent cependant pas sur la capacité de travail du recourant. Cette spécialiste a précisé que le patient refusait pour l'instant une intervention chirurgicale à but diagnostic et thérapeutique. Depuis fin 2011, il était en rémission, mais présentait un risque de récidive important. Dans la mesure où ces affections, bien que nouvelles, n'ont pas entraîné de diminution de la capacité de travail, elles ne sont pas de nature à justifier une réévaluation de l'invalidité du recourant. Il va de soi que si le risque de récidive se réalisait et devait limiter la capacité de travail du recourant, ce dernier pourra entamer une nouvelle procédure de révision. En conclusion, la Cour retient que l'état de santé du recourant n'a pas subi une aggravation, qui aurait augmenté ses limitations fonctionnelles ou réduit sa capacité de travail, telles que retenues dans la décision de 2005. Partant, c'est à juste titre que l'intimé a rejeté sa nouvelle demande prestation. d. Enfin, le recourant ne remet, à raison, pas en cause la comparaison de revenus effectuée par l'intimé. Celle-ci se fonde, en effet, sur les renseignements fournis par l'ancien employeur du recourant pour retenir un salaire annuel, sans invalidité, de 48'915 fr. en 2010. Au vu du large éventail d'activités qu'offre le marché équilibré du travail, qui doit servir de référence théorique et abstraite pour distinguer les cas tombant sous le coup de l'assurance-chômage et ceux qui relèvent de l'assurance- invalidité, et qui sont compatibles avec les limitation fonctionnelles du recourant (cf. ATF 110 V 273 consid. 4b), l'intimé a retenu, à juste titre le revenu ressortant du tableau TA, relatif à une activité pour un homme ne nécessitant de formation (activité simple et répétitive). La comparaison des revenus avec et sans invalidité démontre que l'atteinte à la santé du recourant n'entraîne pas de perte de gain, au sens de l'AI. En conséquence, le recourant ne peut prétendre à des prestations de l'intimé.</w:t>
      </w:r>
    </w:p>
    <w:p>
      <w:r>
        <w:rPr>
          <w:b/>
        </w:rPr>
        <w:t>E. 4</w:t>
      </w:r>
    </w:p>
    <w:p>
      <w:r>
        <w:t>Le recours est donc rejeté. L'assuré plaidant au bénéfice de l'assistance juridique, l'émolument de 200 fr. mis à sa charge (cf. art. 69 al. 1bis LAI) est provisoirement supporté par l'Etat. * * *</w:t>
      </w:r>
    </w:p>
    <w:p>
      <w:r>
        <w:t>A/1260/2012 - 11/11 -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