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ATAS/146/2021 vom 25. Februar 2021</w:t>
      </w:r>
    </w:p>
    <w:p>
      <w:r>
        <w:t>GE Cour de justice, 2021-02-25, FR</w:t>
      </w:r>
    </w:p>
    <w:p>
      <w:r>
        <w:rPr>
          <w:b/>
        </w:rPr>
        <w:t xml:space="preserve">Quelle: </w:t>
      </w:r>
      <w:r>
        <w:t>https://mcp.opencaselaw.ch/entscheid/ge_gerichte_ATAS_146_2021</w:t>
      </w:r>
    </w:p>
    <w:p>
      <w:r>
        <w:t>FR: GE_GERICHTE ATAS/146/2021 du 25 février 2021</w:t>
      </w:r>
    </w:p>
    <w:p>
      <w:r>
        <w:t>IT: GE_GERICHTE ATAS/146/2021 del 25 febbraio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présent recours était, au 1er janvier 2021, pendant devant la chambre de céans, il reste soumis à l'ancien droit (cf. art. 83 LPGA).</w:t>
      </w:r>
    </w:p>
    <w:p>
      <w:r>
        <w:rPr>
          <w:b/>
        </w:rPr>
        <w:t>E. 4</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5</w:t>
      </w:r>
    </w:p>
    <w:p>
      <w:r>
        <w:t>Le litige porte sur le bien-fondé de la décision de la SUVA de cesser le versement des indemnités, après la date du 25 août 2019.</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w:t>
      </w:r>
    </w:p>
    <w:p>
      <w:r>
        <w:t>A/3898/2019 - 7/13 -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A/3898/2019 - 8/13 - ATF 117 V 359 consid. 5d/bb; arrêt du Tribunal fédéral des assurances U 351/04 du 14 février 2006 consid. 3.2).</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A/3898/2019 - 9/13 -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A/3898/2019 - 10/13 -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w:t>
      </w:r>
    </w:p>
    <w:p>
      <w:r>
        <w:t>A/3898/2019 - 11/13 -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le médecin traitant de l’assuré a estimé que ce dernier était en incapacité de travail à 100% jusqu’au 17 septembre 2019, alors que le médecin- conseil de l’intimée a considéré que la capacité de travail à 100% de l’assuré pouvait être fixée à trois mois après l’opération du biceps, soit le 25 août 2019. Pour expliquer cette différence, l’assuré fait valoir que le médecin-conseil de la SUVA ne l’a pas examiné, et maintient que les déclarations faites par son ancien employeur, quant au poids des documents qu’il devait manipuler, sont erronées. S’il est exact que l’assuré n’a pas été examiné personnellement par le médecin- conseil, il n’en reste pas moins que l’avis de ce dernier peut être considéré comme probant, dès lors qu’il est fondé sur un dossier qui contient suffisamment d'appréciations médicales qui, elles, se fondent sur un examen personnel de l'assuré. Or, dans son avis médical du 2 septembre 2019, le Dr G______ indique bien qu’il</w:t>
      </w:r>
    </w:p>
    <w:p>
      <w:r>
        <w:t>A/3898/2019 - 12/13 - s’est notamment fondé sur le rapport de sortie des HUG du 7 juin 2019, sur le rapport de la Dresse E______ du 11 juin 2019 et enfin sur le rapport du Dr B______ du 6 août 2019, indiquant une flexion du coude atteignant 125° et une limitation de l’extension de 30°. Le grief de l’assuré peut donc être écarté compte tenu du fait que l’avis du médecin-conseil est fondé sur des pièces écrites rédigées par les médecins traitants de l’assuré qui l’ont examiné. S’agissant du second grief, selon lequel les allégations du responsable des ressources humaines de F______ devraient être écartées, l’assuré ne démontre pas que sa version est plus probante que celle de M. G______, produisant des photos extraites de catalogues qui ne prouvent pas la réalité des charges qu’il devait transporter, ce d’autant moins qu’invité par la chambre de céans à faire citer des témoins pour étayer ses allégations, l’assuré s’est désisté. Étant encore précisé que le fait que l’assuré souffre du bras gauche ne l’empêche pas d’utiliser son bras droit pour transporter de la documentation, ce d’autant moins que son propre médecin traitant, le Dr B______, a indiqué dans son rapport médical intermédiaire LAA du 6 août 2019, qu’il n’était pas nécessaire d’intervenir auprès de l’employeur pour une affectation à un poste de travail approprié, pas plus qu’il ne fallait s’attendre à la persistance d’un problème. Les avis médicaux rendus par le Dr G______ ne présentent pas d’incohérences manifestes ou de contradictions et sont motivés. Alors que la chirurgienne ayant opéré le recourant, le 24 mai 2019, avait fixé à 6 semaines après l’opération, le contrôle devant être effectué par le Dr B______, ce dernier a prolongé successivement les certificats d’incapacité de travail, jusqu’au 22 juin, puis jusqu’au 6 août et enfin jusqu’au 17 septembre 2019, sans motivation ou justification. En examinant si l’atteinte à la santé perdure après la date du 25 août 2019 fixée par l’intimée, la chambre de céans doit se fonder sur le critère de la vraisemblance prépondérante, usuel en matière de preuve dans le domaine des assurances sociales et tenir compte du fait que le médecin traitant est généralement enclin, en cas de doute, à prendre partie pour son patient en raison de la relation de confiance qui l'unit à ce dernier. Compte tenu de ces éléments, la chambre de céans considère, au vu du dossier et des avis médicaux, que la date de reprise du travail à 100% peut être fixée, au degré de la vraisemblance prépondérante, au 25 août 2019.</w:t>
      </w:r>
    </w:p>
    <w:p>
      <w:r>
        <w:rPr>
          <w:b/>
        </w:rPr>
        <w:t>E. 15</w:t>
      </w:r>
    </w:p>
    <w:p>
      <w:r>
        <w:t>Au vu de ce qui précède, la décision querellée est bien fondée et le recours doit est rejeté.</w:t>
      </w:r>
    </w:p>
    <w:p>
      <w:r>
        <w:rPr>
          <w:b/>
        </w:rPr>
        <w:t>E. 16</w:t>
      </w:r>
    </w:p>
    <w:p>
      <w:r>
        <w:t>Pour le surplus, la procédure est gratuite (art. 61 let. a LPGA).</w:t>
      </w:r>
    </w:p>
    <w:p>
      <w:r>
        <w:t>A/3898/2019 - 13/13 -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