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ATAS/1463/2008 vom 10. Dezember 2007</w:t>
      </w:r>
    </w:p>
    <w:p>
      <w:r>
        <w:t>GE Cour de justice, 2007-12-10, FR</w:t>
      </w:r>
    </w:p>
    <w:p>
      <w:r>
        <w:rPr>
          <w:b/>
        </w:rPr>
        <w:t xml:space="preserve">Quelle: </w:t>
      </w:r>
      <w:r>
        <w:t>https://mcp.opencaselaw.ch/entscheid/ge_gerichte_ATAS_1463_2008</w:t>
      </w:r>
    </w:p>
    <w:p>
      <w:r>
        <w:t>FR: GE_GERICHTE ATAS/1463/2008 du 10 décembre 2007</w:t>
      </w:r>
    </w:p>
    <w:p>
      <w:r>
        <w:t>IT: GE_GERICHTE ATAS/1463/2008 del 10 dicembre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l'assurée une suspension de huit jours dans l'exercice de son droit à l'indemnité, pour absence injustifiée et comportement peu collaborant.</w:t>
      </w:r>
    </w:p>
    <w:p>
      <w:r>
        <w:rPr>
          <w:b/>
        </w:rPr>
        <w:t>E. 5</w:t>
      </w:r>
    </w:p>
    <w:p>
      <w:r>
        <w:t>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Le droit à l'indemnité de chômage a pour corollaire un certain nombre de devoirs qui découlent de l'obligation générale des assurés de réduire le dommage (ATF</w:t>
      </w:r>
    </w:p>
    <w:p>
      <w:r>
        <w:t>A/3856/2008 - 5/7 - 123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 waltungsrecht [SBVR], ch. 691 p. 251; GERHARDS, Kommentar zum Arbeitslosen-versicherungsgesetz [AVIG], tome 1, ad. art. 30).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Selon la jurisprudence, le chômeur qui ne se rend pas à un entretien de conseil ou de contrôle assigné par l'autorité compétente doit être sanctionné si on peut déduire de son comportement de l'indifférence ou un manque d'intérêt (cf. ATFA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w:t>
      </w:r>
    </w:p>
    <w:p>
      <w:r>
        <w:t>A/3856/2008 - 6/7 -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 sid. 2a, 208 consid. 6b et la référence).</w:t>
      </w:r>
    </w:p>
    <w:p>
      <w:r>
        <w:rPr>
          <w:b/>
        </w:rPr>
        <w:t>E. 7</w:t>
      </w:r>
    </w:p>
    <w:p>
      <w:r>
        <w:t>En l’espèce, l'OCE reproche à l'assurée d'avoir manqué un rendez-vous que lui avait donné Monsieur A_________ le 28 février 2008 sans s'excuser.</w:t>
      </w:r>
    </w:p>
    <w:p>
      <w:r>
        <w:t>L'assurée a expliqué au Tribunal de céans qu'elle devait se rendre chez son dentiste, et croyait se souvenir qu'elle en avait informé Monsieur A_________. Or, tel n'est manifestement pas le cas, vu la réaction de celui-ci. On ne comprend à cet égard pas pour quelle raison l'assurée pensait qu'il lui fallait ne pas parler de sa vie privée au point de ne pas justifier ses absences.</w:t>
      </w:r>
    </w:p>
    <w:p>
      <w:r>
        <w:t>Monsieur A_________ a indiqué que l'assurée refusait d'exécuter les tâches qu'il lui demandait.</w:t>
      </w:r>
    </w:p>
    <w:p>
      <w:r>
        <w:t>L'assurée a confirmé, lors de sa comparution personnelle, qu'elle ne lui avait pas transmis la liste de ses réalisations professionnelles. Elle considère du reste qu'elle ne pouvait pas le faire, eu égard au fait qu'elle était liée par le secret professionnel. On ne comprend pas bien, là non plus, ce qui l'empêchait de décrire les divers emplois qu'elle avait occupés. S'agissant de corrections à apporter à son CV, l'assurée s'est bornée à dire qu'elle ne se souvenait pas que Monsieur A_________ lui ait demandé d'en faire. Le consultant de l'Institut HESTIA s'est également plaint de ce que l'assurée réfutait systématiquement le bien fondé de la mesure. Le Tribunal de céans constate à cet égard que si l'assurée a souligné qu'elle avait apprécié la mesure surtout à ses débuts, elle a néanmoins admis avoir consulté ensuite d'autres services qui répondaient mieux, à ses yeux, à ses attentes.</w:t>
      </w:r>
    </w:p>
    <w:p>
      <w:r>
        <w:t>A/3856/2008 - 7/7 - A relever enfin que l'assurée aurait eu tout loisir de se consacrer à la mesure assignée, son emploi en pédiatrie n'ayant commencé que le 31 mars 2008.</w:t>
      </w:r>
    </w:p>
    <w:p>
      <w:r>
        <w:rPr>
          <w:b/>
        </w:rPr>
        <w:t>E. 8</w:t>
      </w:r>
    </w:p>
    <w:p>
      <w:r>
        <w:t>Force est de constater que l'assurée a, par son comportement, conduit le consultant de l'Institut HESTIA, à demander l'arrêt de la mesure d'insertion. L'OCE était par conséquent fondé à prononcer à son encontre une sanction. La durée de suspension de huit jours correspondant aux huit jours de cours restants (un par semaine) et entrant dans la fourchette prévue en cas de faute légère, apparaît à cet égard comme proportionnelle à la gravité de la faute commise (Circulaire relative à l'indemnité de chômage - IC, janvier 2007, D 34 ss.).</w:t>
      </w:r>
    </w:p>
    <w:p>
      <w:r>
        <w:t>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