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ATAS/1460/2008 vom 10. Dezember 2008</w:t>
      </w:r>
    </w:p>
    <w:p>
      <w:r>
        <w:t>GE Cour de justice, 2008-12-10, FR</w:t>
      </w:r>
    </w:p>
    <w:p>
      <w:r>
        <w:rPr>
          <w:b/>
        </w:rPr>
        <w:t xml:space="preserve">Quelle: </w:t>
      </w:r>
      <w:r>
        <w:t>https://mcp.opencaselaw.ch/entscheid/ge_gerichte_ATAS_1460_2008</w:t>
      </w:r>
    </w:p>
    <w:p>
      <w:r>
        <w:t>FR: GE_GERICHTE ATAS/1460/2008 du 10 décembre 2008</w:t>
      </w:r>
    </w:p>
    <w:p>
      <w:r>
        <w:t>IT: GE_GERICHTE ATAS/1460/2008 del 10 dicembre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A/799/2008 - 8/15 -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l'occurrence, dès lors que les faits déterminants se sont produits après le 1er janvier 2003, tant les règles matérielles que de procédure de la LPGA s'appliquent.</w:t>
      </w:r>
    </w:p>
    <w:p>
      <w:r>
        <w:rPr>
          <w:b/>
        </w:rPr>
        <w:t>E. 3</w:t>
      </w:r>
    </w:p>
    <w:p>
      <w:r>
        <w:t>Pour les mêmes raisons, les dispositions de la novelle du 21 mars 2003 modifiant la LAI (4ème révision), entrée en vigueur le 1er janvier 2004 (RO 2003 3852) sont applicables (ATF 127 V 467 consid. 1).</w:t>
      </w:r>
    </w:p>
    <w:p>
      <w:r>
        <w:rPr>
          <w:b/>
        </w:rPr>
        <w:t>E. 4</w:t>
      </w:r>
    </w:p>
    <w:p>
      <w:r>
        <w:t>Enfin, 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rPr>
          <w:b/>
        </w:rPr>
        <w:t>E. 5</w:t>
      </w:r>
    </w:p>
    <w:p>
      <w:r>
        <w:t>Interjeté dans les forme et délai prévus par la loi, le recours est recevable (art. 56 et ss LPGA).</w:t>
      </w:r>
    </w:p>
    <w:p>
      <w:r>
        <w:rPr>
          <w:b/>
        </w:rPr>
        <w:t>E. 6</w:t>
      </w:r>
    </w:p>
    <w:p>
      <w:r>
        <w:t>Le litige consiste à déterminer si le recourant présente une atteinte à la santé invalidante, ouvrant droit à des prestations de l'assurance-invalidité.</w:t>
      </w:r>
    </w:p>
    <w:p>
      <w:r>
        <w:rPr>
          <w:b/>
        </w:rPr>
        <w:t>E. 7</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w:t>
      </w:r>
    </w:p>
    <w:p>
      <w:r>
        <w:t>A/799/2008 - 9/15 -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124 V 265 consid. 3c p. 268, ATF 99 V 28 consid. 2; VSI 2002 p. 32 consid. 2a, 1996 p. 319 consid. 2a, 321 consid. 1a et 325 consid. 1a).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(cf. ATF du 15 avril 2008 9C_395/2007; sur l'ensemble de la question, cf. arrêt I 169/06 du 8 août 2006, consid. 2.2 et les arrêts cités).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w:t>
      </w:r>
    </w:p>
    <w:p>
      <w:r>
        <w:t>A/799/2008 - 10/15 -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arrêt I 731/02 du 25 juillet 2003, consid. 2.3).</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rPr>
          <w:b/>
        </w:rPr>
        <w:t>E. 10</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w:t>
      </w:r>
    </w:p>
    <w:p>
      <w:r>
        <w:t>A/799/2008 - 11/15 -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w:t>
      </w:r>
    </w:p>
    <w:p>
      <w:r>
        <w:rPr>
          <w:b/>
        </w:rPr>
        <w:t>E. 11</w:t>
      </w:r>
    </w:p>
    <w:p>
      <w:r>
        <w:t>Enfin,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12</w:t>
      </w:r>
    </w:p>
    <w:p>
      <w:r>
        <w:t>En l'espèce, il résulte de l'expertise réalisée à la demande de l'intimé par le Dr D__________ que le recourant présente une personnalité émotionnellement labile de type borderline (F60.31) depuis l'adolescence, des troubles mentaux et du comportement liés à l'utilisation de cannabis, utilisation continue (F12.25) depuis 1982, des troubles mentaux et du comportement liés à l'utilisation d'alcool, utilisation nocive pour la santé (F10.1) depuis 1985, des troubles mentaux et du comportement liés à l'utilisation de cocaïne (F14.20) actuellement abstinent, et des troubles mentaux et du comportement liés à l'utilisation d'opiacés (F11.20) actuellement abstinent. Selon l'expert, ces atteintes n'entraînent aucune incapacité de travail. Il peut retenir tout au plus que le recourant a souvent des difficultés relationnelles dans le travail avec un faible seuil de tolérance à la frustration et une tendance à se montrer irritable, parfois même agressif verbalement. Le Tribunal de céans constate que ce rapport d'expertise contient des lacunes. Ainsi, le Dr D__________ diagnostique des troubles mentaux et du comportement liés à l'utilisation de cannabis, d'alcool, de cocaïne et d'opiacés, sans expliquer en quoi consistent ces troubles mentaux et ces troubles du comportement. De surcroît, les causes de la toxicomanie et de l'abus d'alcool, ne sont pas claires: l'expert</w:t>
      </w:r>
    </w:p>
    <w:p>
      <w:r>
        <w:t>A/799/2008 - 12/15 - indique que le recourant présente un trouble de la personnalité depuis l'adolescence, mais on ne sait quel rôle celui-ci a joué dans le développement et la fixation des addictions. Ainsi, l'expertise du Dr D__________ ne permet pas au Tribunal de céans de disposer de tous les éléments nécessaires pour déterminer si la consommation de cannabis, d'alcool, de cocaïne et d'opiacés est la conséquence d'une atteinte à la santé physique ou mentale qui a valeur de maladie ou si elle a provoqué une atteinte à la santé invalidante. En outre, quand bien même l'expert reconnaît qu'il a un doute quant au diagnostic à poser s'agissant de l'utilisation de l'alcool - dépendance ou abus d'alcool -, l'expert n'a pas complété ses investigations afin de pouvoir déterminer avec exactitude si le recourant est dépendant ou non à l'alcool. Enfin, l'expert, qui est d'avis qu'il existe une aggravation de la consommation d'alcool, ne précise pas depuis quand cette aggravation est survenue. S'agissant des effets du trouble de la personnalité sur la capacité de travail du recourant, l'expert se contredit. En effet, il retient d'une part que la personnalité émotionnellement labile de type borderline n'a pas de répercussion sur la capacité de travail du recourant (p. 16 de l'expertise), alors qu'il admet d'autre part que ce trouble a une influence sur la capacité de travail du recourant, en raison de son faible niveau de tolérance à la frustration (p. 17 de l'expertise, point B1). L'expert se contredit également lorsqu'il justifie les capacités d'adaptation du recourant à l'environnement professionnel par le fait que ce dernier a, dans le passé, pu conserver des emplois (p. 18 de l'expertise), alors que l'anamnèse fait état de ses nombreuses difficultés à garder un emploi (p. 10 de l'expertise) et que l'expert a expressément relevé que le recourant a eu des conflits professionnels récurrents avec ses employeurs (p. 14 de l'expertise). De surcroît, le recourant décrit de troubles du sommeil ainsi que d'angoisses importantes, sans que l'expert ne commente ces plaintes. Enfin, l'expert écarte tout lien entre la fatigue et le traitement pour l'hépatite C au motif que cette fatigue est survenue après l'arrêt du traitement et que le recourant n'était alors pas en incapacité de travail, mais au chômage. Or, comme l'a d'ailleurs reconnu l'expert, cette appréciation sort de son champ de compétences, de sorte que le Tribunal de céans ne saurait la retenir sans autre examen. En définitive, l'expertise du Dr D__________, qui comporte des lacunes et certaines contradictions, n'est pas suffisamment probante pour tirer des conclusions définitives dans le cas d'espèce. D'autre part, sur le plan physique, alors que le recourant a été suivi par le Dr F__________ pour le traitement de son hépatite C, aucun rapport le concernant ne figure au dossier. De tels renseignements auraient été cependant fort utiles pour déterminer si l'hépatite C a effectivement été guérie - dès lors que, selon le Dr B__________, il s'agit d'une atteinte dont souffrirait encore le recourant (rapport du</w:t>
      </w:r>
    </w:p>
    <w:p>
      <w:r>
        <w:rPr>
          <w:b/>
        </w:rPr>
        <w:t>E. 14</w:t>
      </w:r>
    </w:p>
    <w:p>
      <w:r>
        <w:t>En conséquence, il convient d'admettre le recours, d'annuler la décision et de renvoyer la cause à l'intimé afin qu'il mette en œuvre une expertise multidisciplinaire et rende une nouvelle décision.</w:t>
      </w:r>
    </w:p>
    <w:p>
      <w:r>
        <w:rPr>
          <w:b/>
        </w:rPr>
        <w:t>E. 15</w:t>
      </w:r>
    </w:p>
    <w:p>
      <w:r>
        <w:t>Au vu de l'issue du litige, un émolument de 500 fr. est mis à la charge de l'intimé (art. 69 al. 1bis LAI).</w:t>
      </w:r>
    </w:p>
    <w:p>
      <w:r>
        <w:t>A/799/2008 - 14/15 -</w:t>
      </w:r>
    </w:p>
    <w:p>
      <w:r>
        <w:t>A/799/2008 - 15/15 -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