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ATAS/145/2025 vom 11. März 2025</w:t>
      </w:r>
    </w:p>
    <w:p>
      <w:r>
        <w:t>GE Cour de justice, 2025-03-11, FR</w:t>
      </w:r>
    </w:p>
    <w:p>
      <w:r>
        <w:rPr>
          <w:b/>
        </w:rPr>
        <w:t xml:space="preserve">Quelle: </w:t>
      </w:r>
      <w:r>
        <w:t>https://mcp.opencaselaw.ch/entscheid/ge_gerichte_ATAS_145_2025</w:t>
      </w:r>
    </w:p>
    <w:p>
      <w:r>
        <w:t>FR: GE_GERICHTE ATAS/145/2025 du 11 mars 2025</w:t>
      </w:r>
    </w:p>
    <w:p>
      <w:r>
        <w:t>IT: GE_GERICHTE ATAS/145/2025 del 11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A/1976/2024 - 8/20 - La procédure devant la chambre de céans est régie par les dispositions de la LPGA et de la loi sur la procédure administrative, du 12 septembre 1985 (LPA - E 5 10).</w:t>
      </w:r>
    </w:p>
    <w:p>
      <w:r>
        <w:rPr>
          <w:b/>
        </w:rPr>
        <w:t>E. 1.3</w:t>
      </w:r>
    </w:p>
    <w:p>
      <w:r>
        <w:t>Interjeté dans la forme (art. 61 let. b LPGA) et le délai de trente jours (art. 60 al. 1 LPGA ; art. 62 al. 1 let. a LPA) prévus par la loi, le recours est recevable.</w:t>
      </w:r>
    </w:p>
    <w:p>
      <w:r>
        <w:rPr>
          <w:b/>
        </w:rPr>
        <w:t>E. 2.1</w:t>
      </w:r>
    </w:p>
    <w:p>
      <w:r>
        <w:t>Le 1er janvier 2022, les modifications de la LAI du 19 juin 2020 (développement continu de l’AI ; RO 2021 705) ainsi que celles du</w:t>
      </w:r>
    </w:p>
    <w:p>
      <w:r>
        <w:rPr>
          <w:b/>
        </w:rPr>
        <w:t>E. 2.2</w:t>
      </w:r>
    </w:p>
    <w:p>
      <w:r>
        <w:t>En l'espèce, la recourante a déposé sa demande de prestations le 11 octobre 2019, de sorte que son éventuel droit à une rente naîtrait le 1er avril 2020 au plus tôt (art. 29 al. 1 et 3 LAI). Par conséquent, les dispositions légales applicables seront citées dans leur teneur en vigueur jusqu’au 31 décembre 2021.</w:t>
      </w:r>
    </w:p>
    <w:p>
      <w:r>
        <w:rPr>
          <w:b/>
        </w:rPr>
        <w:t>E. 3</w:t>
      </w:r>
    </w:p>
    <w:p>
      <w:r>
        <w:t>Le litige porte sur le droit de la recourante à une rente d'invalidité.</w:t>
      </w:r>
    </w:p>
    <w:p>
      <w:r>
        <w:rPr>
          <w:b/>
        </w:rPr>
        <w:t>E. 4</w:t>
      </w:r>
    </w:p>
    <w:p>
      <w:r>
        <w:t>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w:t>
      </w:r>
    </w:p>
    <w:p>
      <w:r>
        <w:t>A/1976/2024 - 12/20 -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Il y a lieu de se fonder sur une grille d’analyse comportant divers indicateurs qui rassemblent les éléments essentiels propres aux troubles de nature psychosomatique (ATF 141 V 281 consid. 4). - Catégorie « Degré de gravité fonctionnel » (ATF 141 V 281 consid. 4.3)</w:t>
      </w:r>
    </w:p>
    <w:p>
      <w:r>
        <w:t>A/1976/2024 - 10/20 -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La procédure d’administration des preuves qui prévaut en matière de troubles douloureux sans substrat organique et de troubles psychosomatiques analogues est applicable également à la fibromyalgie (ATF 132 V 65 consid. 4.1).</w:t>
      </w:r>
    </w:p>
    <w:p>
      <w:r>
        <w:rPr>
          <w:b/>
        </w:rPr>
        <w:t>E. 4.2</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en tenant compte des facteurs incapacitants externes d’une part et du potentiel de compensation (ressources) d’autre part,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A/1976/2024 - 11/20 -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w:t>
      </w:r>
    </w:p>
    <w:p>
      <w:r>
        <w:t>A/1976/2024 - 13/20 - extérieurs (arrêt du Tribunal fédéral 9C_55/2015 du 11 mai 2015 consid. 2.3 et l'arrêt cité) établis au degré de la vraisemblance prépondérante tel que requis en droit des assurances sociales (ATF 126 V 353 consid. 5b).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A/1976/2024 - 15/20 -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5. En l'espèce, la chambre de céans rappelle au préalable que le statut mixte retenu par l'intimé, à raison de 60% dans l'activité lucrative et de 40% dans l'activité ménagère, est admis par la recourante et peut donc être confirmé. 5.1 Pour l’évaluation de l’invalidité dans la part professionnelle, l’intimé s'est fondé sur l'avis du SMR du 14 juillet 2022, lui-même basé sur le rapport d'expertise rhumato-psychiatrique du 9 mai 2022. Il convient donc d’examiner la valeur probante de l’expertise. 5.1.1 Ce document repose sur les pièces médicales du dossier, y compris celles apportées par la recourante (p. 5-9), l'anamnèse et les déclarations de l’expertisée (p. 18-22, 34-41), l'examen clinique (p. 23-28, 43-46), l'appréciation du cas (p. 29-33, 47-53) et une synthèse consensuelle (p. 10-17), de sorte qu’il remplit de prime abord les réquisits jurisprudentiels. 5.1.2 Sur le plan somatique, l'expert rhumatologue a posé les diagnostics de pieds plats stade II-III, de hallux valgus débutant, de status post chirurgie prothèse totale du genou droit en octobre 2021, de syndrome douloureux chronique type fibromyalgie confirmé avec un score de Wolfe de 17/31 (p. 30) et, au niveau de la colonne lombaire, de syndrome de dysbalance musculaire avec un déconditionnement global, sans radiculalgie (p. 23). Il a estimé que ces troubles n'étaient pas incapacitants, sous réserve de l'atteinte au genou droit consécutive à la pose de la prothèse totale pour une période maximale de six mois (p. 29). Il a conclu que la recourante était limitée selon le profil d'effort (p. 31), mais qu'elle pouvait exercer à plein temps son activité de logopédiste, adaptée à son état de santé (p. 29). La chambre de céans constate que l’appréciation du Dr D______ ne résulte pas d’une analyse fouillée et approfondie, et qu’elle n’a pas été rendue en pleine</w:t>
      </w:r>
    </w:p>
    <w:p>
      <w:r>
        <w:t>A/1976/2024 - 16/20 - connaissance du dossier. En outre, les plaintes de l’expertisée ont été rapportées de façon très sommaire « dans le cadre d’un entretien ouvert » (p. 18) et en quelques lignes seulement sous « affection actuelle (…) » et « troubles actuels (…) » (p. 18). Elle relèvera, à titre d’exemples, que la recourante a déclaré à l’expert qu’elle avait consulté la Dre J______ en 2018-2019 pour ses problèmes des genoux, qu’elle avait fait une poussée congestive du genou droit et s’était soumise à une ponction et infiltration, avant la pose de sa prothèse en 2021 (p. 18). L’expert n’a cependant sollicité aucun document relatif à ces traitements ni n’a contacté la médecin précitée. De même, il a rapporté que le médecin généraliste de la recourante avait fait état, dans ses rapports des 25 mai et 3 juin 2020, de gonarthrose depuis 2017, de douleurs et « déformation » des genoux, sans chercher à obtenir des informations sur les investigations ayant pu mener à ces conclusions. S’il l’avait fait, il aurait pu prendre connaissance des rapports de radiographie des genoux du 29 mai 2020 et d'IRM du genou gauche du 7 mai 2021 qui ne figuraient pas au dossier de l’intimé, lesquels attestent notamment, au niveau du genou gauche, d’une chondropathie fémoro-patellaire externe de grade IV avec subluxation latérale de la patella et volumineux corps ostéochondromateux de 3.4 cm en regard de cette facette externe, d’une chondropathie de grade III de la zone portante du condyle fémoral interne et de grade II de la zone portante du condyle fémoral externe, et d’une ostéophytose tricompartimentale. Au vu de ces éléments, les diagnostics posés par l’expert, qui n’a retenu aucun trouble au niveau du genou gauche, apparaissent incomplets. En ce qui concerne l'atteinte au genou droit, l'expert a admis une incapacité de travail pour la période postérieure à l'intervention chirurgicale, mais pas pour celle précédant l’opération. Toutefois, dans un rapport du 25 mai 2020, le médecin généraliste avait mentionné que sa patiente présentait une mobilité limitée en raison de la fibromyalgie, mais également d’une gonarthrose. L'expert aurait dû expliquer les raisons pour lesquelles il considérait que les troubles présentés par la recourante au niveau du genou droit et qui ont nécessité la pose d’une prothèse totale en octobre 2021 n’entrainaient aucune limitation fonctionnelle et n’avaient pas d’incidence sur sa capacité de travail avant l’opération. Il pourra encore être relevé, à la lecture de l’examen clinique, que l’expert n’a pas testé la stabilité latérale et les ménisques de la recourante, sans que l’on en connaisse les raisons. Le Dr D______ n’a pas non plus mentionné le diagnostic de syndrome sévère d'apnées du sommeil confirmé par le dernier pneumologue traitant. Que ce dernier ait exposé que ce trouble n'était pas incapacitant en cas de traitement (dossier intimé p. 63) n’est pas déterminant, puisqu’il ressort de l’expertise que la recourante n’était alors pas appareillée (p. 26). L’expertisée faisant état d’une fatigue intense (p. 20) et son médecin traitant ayant considéré que les apnées du sommeil avaient des répercussions sur la capacité de travail (rapport du</w:t>
      </w:r>
    </w:p>
    <w:p>
      <w:r>
        <w:t>A/1976/2024 - 17/20 - 3 juin 2020), il était attendu de l’expert qu’il se prononce sur ce syndrome, cas échéant qu’il sollicite l’avis d’un spécialiste. 5.1.3 Sur le plan psychique, l'expert psychiatre a posé les diagnostics de trouble affectif bipolaire, actuellement en rémission (F31.7), et d'anxiété généralisée (F41.1 ; p. 49). Il a expliqué que la recourante avait souffert auparavant de deux épisodes hypomaniaques et de plusieurs épisodes dépressifs, suivis de périodes d'euthymie, et que son état de santé était désormais stable (p. 41 et 45). Elle était fonctionnelle en dehors des phases d'exaltation ou d'inflexion thymique (p. 42). Par ailleurs, elle présentait une anxiété flottante de longue date, un sentiment permanent de nervosité, une tension musculaire, notamment cervicale et bi- scapulaire. Elle éprouvait des sensations de tête vide et une gêne épigastrique. Elle se faisait du souci, s'attendait à des malheurs divers et avait peur que ses proches ne tombent malades ou aient un accident. Il existait un facteur de stress chronique, celui de décompenser une nouvelle fois une phase thymique basse du trouble affectif bipolaire (p. 49). Le Dr E______ a tenu compte du caractère imprévisible des manifestations thymiques du trouble affectif bipolaire (p. 51) et évalué la capacité de travail de l’expertisée à 50% dans son activité habituelle de logopédiste, depuis 2017 (p. 52). La chambre de céans relève que l’expert a expliqué que la guérison du trouble affectif bipolaire était illusoire (p. 51) et que cette atteinte avait des répercussions sur la capacité de travail (p. 52), qui était nulle lors des phases d'inflexion thymique du trouble (p. 51). Il n’a cependant pas du tout précisé la durée de ces phases, ni ne s’est prononcé sur la fréquence de l'alternance des phases d'euthymie et d'inflexion thymique. De plus, elle observe avec la recourante que l’anamnèse contient une contradiction importante concernant les abus sexuels subis dans l’enfance. Dans ces circonstances, les conclusions de l’expert psychiatre quant à l’existence d’une capacité de travail de 50% dans l’activité habituelle de logopédiste ne sont pas convaincantes. À ce propos, il sera encore rappelé que la psychiatre traitante a contesté que le trouble affectif bipolaire puisse être considéré comme étant en « rémission », et qu’elle a expliqué que sa patiente alternait « régulièrement » une phase dépressive avec une phase subdépressive, ces décompensations survenant en raison d'une exacerbation aigue de l'anxiété généralisée, et ce malgré la prise d’un traitement conséquent (rapport du 13 juin 2024). 5.1.4 Eu égard à ce qui précède, la chambre de céans considère que le rapport d'expertise rhumato-psychiatrique du 9 mai 2022 ne peut pas se voir reconnaître une pleine valeur probante. Il se justifie de renvoyer le dossier à l'intimé, à charge pour lui de mettre en œuvre une nouvelle expertise rhumato-psychiatrique, dans la mesure où, comme on le verra ci-après, la cause doit de toute manière lui être retournée pour instruction complémentaire sur les empêchements de la recourante dans la sphère ménagère.</w:t>
      </w:r>
    </w:p>
    <w:p>
      <w:r>
        <w:t>A/1976/2024 - 18/20 - Dans le cadre du complément d'instruction, il incombera à l'intimé de recueillir toutes les pièces utiles auprès des médecins traitants, tels que l'IRM du 6 mai 2022 évoquée dans le rapport du neurologue traitant du 1er juin 2022 et les documents relatifs aux interventions subies, afin de remettre un dossier complet aux nouveaux experts. L'intimé appréciera également, à l'aune de ces documents médicaux, l'opportunité de compléter la nouvelle expertise par d'autres volets (notamment orthopédique et pneumologique). 5.2 Pour l'évaluation de l'empêchement dans la sphère ménagère, l'intimé s'est contenté d'un entretien dans ses locaux avec la recourante, alors qu'il se devait de procéder à une évaluation concrète au domicile de l’intéressée, selon la jurisprudence. 5.2.1 Certes, il est possible, selon le chiffre 3600 de la Circulaire sur l'invalidité et les rentes dans l'assurance-invalidité établie par l'Office fédéral des assurances sociales (CIRAI, dans son état au 1er janvier 2024 ici applicable) auquel se réfère l'intimé, de renoncer à l’enquête sur place, en le justifiant brièvement dans le dossier, si la situation personnelle de l’assuré et les effets de son état de santé sur les activités relevant de ses travaux habituels sont déjà suffisamment connus de l’office AI et documentés dans le dossier. Or, tel n’est pas le cas en l’espèce, les experts n’ayant pas été expressément invités à se déterminer sur les empêchements de la recourante dans la sphère ménagère (dossier intimé p. 112-115 portant sur le formulaire « Structure de l'expertise » adressé aux experts). Il sera en outre relevé que l’expert psychiatre a retenu qu’il existait, lors des phases d’inflexion thymique, une limitation uniforme des activités dans tous les domaines de l’existence (p. 48) et que l'expert rhumatologue a indiqué que l’intéressée était limitée selon le profil d'effort et lui a recommandé de consulter un centre de la douleur spécialisé pour l'apprentissage des gestes d'épargne du rachis (p. 33). En outre, la recourante a déclaré que son mari et elle avaient dû engager une femme de ménage qui effectuait le « gros du ménage » et le repassage (dossier intimé p. 215). 5.2.2 Force est ainsi de constater que l'instruction menée par l'intimé est lacunaire et que la cause doit lui être renvoyée afin qu'il mette en œuvre une enquête ménagère au domicile de la recourante, après avoir demandé aux nouveaux experts d’examiner également si les troubles présentés par la recourante et les limitations somatiques et psychiques qui en découlent ont des répercussions dans la sphère ménagère, depuis le 1er avril 2020, période déterminante pour l'éventuel droit à une rente d'invalidité (cf. consid. 2.2). Cela fait, l'intimé est invité à expliquer en détail sur quelle base il estime que, pour une constitution familiale telle que celle de la recourante (mère en couple élevant un enfant de 18 ans et plus), le nombre d'heures par semaine pour la tenue</w:t>
      </w:r>
    </w:p>
    <w:p>
      <w:r>
        <w:t>A/1976/2024 - 19/20 - du ménage serait de 28h18. En l'état, la chambre de céans constate que, selon le tableau T 03.06.02.07 « travail domestique et familial : mères en couple élevant un enfant » établi par l'Office fédéral de la statistique, auquel semble s'être référé l'intimé, une mère en couple, active entre 50 et 89%, élevant un enfant âgé entre 18 et 24 ans consacre en moyenne 29.4 heures par semaine au travail domestique et familial, pour l'année 2020. 6. Au vu de ce qui précède, le recours sera partiellement admis, la décision litigieuse annulée, et la cause renvoyée à l'intimé pour instruction complémentaire au sens des considérants et nouvelle décision. La recourante, qui obtient partiellement gain de cause et est assistée d’un avocat, a droit à des dépens, fixés en l'espèce à CHF 2'000.- (art. 61 let. g LPGA ; art. 6 du règlement sur les frais, émoluments et indemnités en matière administrative du 30 juillet 1986 [RFPA - E 5 10.03]). Au vu du sort du recours, il y a lieu de condamner l'intimé au paiement d'un émolument de CHF 200.- (art. 69 al. 1bis LAI).</w:t>
      </w:r>
    </w:p>
    <w:p>
      <w:r>
        <w:t>A/1976/2024 - 20/20 - PAR CES MOTIFS, LA CHAMBRE DES ASSURANCES SOCIALES : Statuant À la forme :</w:t>
      </w:r>
    </w:p>
    <w:p>
      <w:r>
        <w:rPr>
          <w:b/>
        </w:rPr>
        <w:t>E. 8</w:t>
      </w:r>
    </w:p>
    <w:p>
      <w:r>
        <w:t>al. 3 LPGA).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arrêts du Tribunal fédéral 9C_625/2017 du 26 mars 2018 consid. 6.2 et I.733/06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w:t>
      </w:r>
    </w:p>
    <w:p>
      <w:r>
        <w:t>A/1976/2024 - 14/20 -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 du Tribunal fédéral I.308/04 et I.309/04 du 14 janvier 2005). La situation est toutefois différente en présence de troubles d'ordre psychique. Dans un tel cas, en présence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Il existe dans l'assurance-invalidité, ainsi que dans les autres assurances sociales, un principe général selon lequel l'assuré qui demande des prestations doit d'abord entreprendre tout ce que l'on peut raisonnablement attendre de lui pour atténuer les conséquences de son invalidité (ATF 141 V 642 consid. 4.3.2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