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ATAS/145/2023 vom 3. März 2023</w:t>
      </w:r>
    </w:p>
    <w:p>
      <w:r>
        <w:t>GE Cour de justice, 2023-03-03, FR</w:t>
      </w:r>
    </w:p>
    <w:p>
      <w:r>
        <w:rPr>
          <w:b/>
        </w:rPr>
        <w:t xml:space="preserve">Quelle: </w:t>
      </w:r>
      <w:r>
        <w:t>https://mcp.opencaselaw.ch/entscheid/ge_gerichte_ATAS_145_2023</w:t>
      </w:r>
    </w:p>
    <w:p>
      <w:r>
        <w:t>FR: GE_GERICHTE ATAS/145/2023 du 3 mars 2023</w:t>
      </w:r>
    </w:p>
    <w:p>
      <w:r>
        <w:t>IT: GE_GERICHTE ATAS/145/2023 del 3 marzo 2023</w:t>
      </w:r>
    </w:p>
    <w:p>
      <w:pPr>
        <w:pStyle w:val="Heading2"/>
      </w:pPr>
      <w:r>
        <w:t>Erwägungen</w:t>
      </w:r>
    </w:p>
    <w:p>
      <w:r>
        <w:rPr>
          <w:b/>
        </w:rPr>
        <w:t>E. 30</w:t>
      </w:r>
    </w:p>
    <w:p>
      <w:r>
        <w:t>septembre 2018, puis avait diminué à 70 % depuis le 1er octobre 2018 et, selon</w:t>
      </w:r>
    </w:p>
    <w:p>
      <w:r>
        <w:t>A/1686/2021 - 4/28 - les documents du dossier, elle avait encore diminué à 60 % depuis le mois de janvier 2019. Cependant, un an après l’opération, l’expert rhumatologue estimait qu’on pouvait exiger de l’assurée une capacité de travail de 70 % car le status après spondylodèse était satisfaisant et l’assurée ne présentait pas de troubles sensitivomoteur, ni de troubles réflexes, ni de syndrome radiculaire des membres inférieurs. Il ajoutait que dans une activité adaptée comme celle de commise administrative, on pouvait s’attendre à ce qu’après une spondylodèse lombaire, une personne puisse normalement reprendre son activité professionnelle à 100 %, entre six mois et une année après l’opération. Il était encore mentionné comme pronostic que sur le plan rhumatologique, les troubles dégénératifs du rachis risquaient de s’aggraver à long terme. i. Dans son rapport final du 7 avril 2020, l’OAI a retenu un statut mixte d’activité professionnelle à 75 % et d’activité habituelle à 25 %. La capacité de travail était fixée pour toute activité à 30 % dès le 1er octobre 2018 et à 70 % dès le 18 janvier 2019. La perte de gain de 30 % a entrainé un degré d’invalidité de 22.5 % et la perte de gain de 70 % a entrainé un degré d’invalidité de 52.5 %. j. En complément, l’OAI a demandé une enquête économique sur le ménage qui a abouti à un rapport du 2 juillet 2020 prenant en compte une exigibilité totale retenue de 13.5% et concluant à un empêchement pondéré avec exigibilité de 0 %. k. Après évaluation de l’invalidité selon la méthode mixte, l’OAI est parvenu à un taux de 49 % selon l’ancien calcul, et de 56 % selon le nouveau calcul. Il a ainsi retenu un degré d’invalidité de 56 % dès le 1er mars 2018 et de 53 % dès le 1er octobre 2018. Par projet d’acceptation de rente du 27 juillet 2020, l’OAI a informé l’assurée B. a. que du 1er mai 2018 au 31 janvier 2019, cette dernière avait le droit une demi- rente sur la base d’un degré d’invalidité de 56 %, puis de 53 %, sous réserve des indemnités journalières déjà versées. Au-delà du 31 janvier 2019, la rente était supprimée car le taux d’invalidité retenu était de 23 % en raison d’une exigibilité de 70 % retenue depuis le 18 janvier 2019. b. Par courrier du 24 août 2020, le mandataire de l’assurée a demandé la communication de l’intégralité du dossier. Par courrier du 14 septembre 2020, le mandataire de l’assurée s’est opposé au projet de décision, en considérant que l’expertise sur laquelle le projet de décision s’appuyait contrevenait aux principes jurisprudentiels car elle retenait une capacité médico-théorique alors même que la capacité réelle de travail était inférieure. Selon l’assurée, les experts s’étaient fondés sur des hypothèses et des appréciations incomplètes qui ne tenaient pas compte de ses plaintes. Le rapport d’expertise ne prenait pas en considération les plaintes exprimées, la description des interférences médicales n’était pas claire et enfin, les conclusions des experts étaient incohérentes. c. Par décision du 8 avril 2021, l’OAI a confirmé, en substance, le projet de décision du 27 juillet 2020.</w:t>
      </w:r>
    </w:p>
    <w:p>
      <w:r>
        <w:t>A/1686/2021 - 5/28 - Par acte de son mandataire posté le 11 mai 2021, l’assurée a recouru contre la C. a. décision du 8 avril 2021 par-devant la chambre des assurances sociales de la Cour de justice (ci-après : la chambre de céans) en reprenant en substance les critiques déjà énoncées à l’encontre du projet de décision. Selon l’assurée, les conclusions des experts se rapportaient aux conclusions de ses propres médecins traitants ; il était donc nécessaire de mettre en œuvre une expertise médicale indépendante afin de déterminer sa réelle capacité de travail. À titre principal, l’assurée concluait à l’annulation de la décision et à l’octroi d’une rente au-delà du 31 janvier 2019. b. Par réponse du 9 juin 2021, l’OAI a conclu au rejet du recours en considérant que le rapport médical du SMR devait être qualifié de probant. c. Par réplique de son mandataire du 10 août 2021, l’assurée a allégué qu’il fallait retenir un diagnostic de fibromyalgie comme l’avait pressenti le Dr B______ dans un rapport joint du 28 juillet 2021. Selon l’assurée, un tel diagnostic avait été confirmé par le docteur I______, rhumatologue, en date du 13 juin 2019. d. Par duplique du 24 août 2021, se fondant sur l’avis de son service SMR du même jour, l’OAI a considéré que le rapport du Dr B______ du 28 juillet 2021 n’amenait aucun élément nouveau et que le diagnostic de fibromyalgie avait bien été pris en compte par les examinateurs au SMR, en 2019. Cependant, la fibromyalgie n’avait pas été retenue comme incapacitante. e. Par observations du 22 septembre 2021, le mandataire de l’assurée a décrit une journée-type à l’issue de laquelle il considérait que le quotidien et la santé restaient médiocres et que les ressources de l’assurée étaient altérées, dépendantes et diminuées par ses douleurs et sa maladie. f. Les parties ont été entendues par la chambre de céans en comparution personnelle lors de l’audience du 15 septembre 2022. La recourante a décrit son travail au bureau, les médicaments qu’elle prenait, son quotidien et le fait qu’elle avait ressenti que le Dr H______, médecin rhumatologue du SMR qui l’avait examinée, avait semblé ne pas la croire lorsqu’elle décrivait ses douleurs. La recourante a demandé qu’une expertise bi disciplinaire soit ordonnée, ce à quoi l’intimé s’est opposé, considérant une telle expertise comme superflue. g. Par courrier du 11 octobre 2022, la chambre de céans a informé les parties qu’elle avait l’intention de confier une mission d’expertise bi disciplinaire aux médecins J______, rhumatologue, et K______, psychiatre et psychothérapeute. h. Les parties n’ont pas fait valoir de motif de récusation à l’encontre des deux médecins pressentis. L’intimé a toutefois précisé qu’il s’opposait à cette mesure, considérant qu’une expertise judiciaire n’était pas nécessaire. i. Un projet de mandat d’expertise a été communiqué aux parties, par courrier du</w:t>
      </w:r>
    </w:p>
    <w:p>
      <w:r>
        <w:rPr>
          <w:b/>
        </w:rPr>
        <w:t>E. 31</w:t>
      </w:r>
    </w:p>
    <w:p>
      <w:r>
        <w:t>janvier 2023. Dans le délai imparti, les parties ont informé la chambre de céans qu’elles n’avaient pas de remarques à faire valoir sur le projet de mandat d’expertise.</w:t>
      </w:r>
    </w:p>
    <w:p>
      <w:r>
        <w:t>A/1686/2021 - 6/28 -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1er janvier 2021 est entrée en vigueur la modification du 21 juin 2019 de la LPGA. Dans la mesure où le recours a été interjeté postérieurement au 1er janvier 2021, il est soumis au nouveau droit (cf. art. 82a LPGA a contrario). 4.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 5. Le délai de recours est de trente jours (art. 56 LPGA ; art. 62 al. 1 de la loi sur la procédure administrative du 12 septembre 1985 [LPA - E 5 10]). Interjeté dans la forme et le délai prévus par la loi, compte tenu de la suspension des délais du 7ème jour avant Pâques au 7ème jour après Pâques inclusivement (art. 38 al. 4 let. a LPGA et art. 89C let. a LPA), le recours est recevable. 6. Le litige porte sur le bien-fondé de la décision de l’OAI du 8 avril 2021.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w:t>
      </w:r>
    </w:p>
    <w:p>
      <w:r>
        <w:t>A/1686/2021 - 7/28 - celle-ci n’est pas objectivement surmontable (al. 2 en vigueur dès le 1er janvier 2008). En vertu de l’art. 28 al. 2 LAI, l’assuré a droit à une rente entière s’il est invalide à 70 % au moins, à un trois 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8. 8.1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 8.2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w:t>
      </w:r>
    </w:p>
    <w:p>
      <w:r>
        <w:t>A/1686/2021 - 8/28 -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 8.3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8.4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9.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w:t>
      </w:r>
    </w:p>
    <w:p>
      <w:r>
        <w:t>A/1686/2021 - 9/28 -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w:t>
      </w:r>
    </w:p>
    <w:p>
      <w:r>
        <w:t>A/1686/2021 - 10/28 -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w:t>
      </w:r>
    </w:p>
    <w:p>
      <w:r>
        <w:t>A/1686/2021 - 11/28 -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w:t>
      </w:r>
    </w:p>
    <w:p>
      <w:r>
        <w:t>A. Limitation uniforme du niveau des activités dans tous les domaines comparables de la vie</w:t>
      </w:r>
    </w:p>
    <w:p>
      <w:r>
        <w:t>A/1686/2021 - 12/28 -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10.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w:t>
      </w:r>
    </w:p>
    <w:p>
      <w:r>
        <w:t>A/1686/2021 - 13/28 -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11.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 12.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13.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w:t>
      </w:r>
    </w:p>
    <w:p>
      <w:r>
        <w:t>A/1686/2021 - 14/28 - lapin » (ATF 141 V 574 consid. 5.2 et ATF 136 V 279 consid. 3.2.3) et d’état de stress post-traumatique (ATF 142 V 342 consid. 5.2). En revanche, ils ne sont pas applicables par analogie à la fatigue liée au cancer (cancer-related Fatigue) (ATF 139 V 346 consid. 3 ; arrêt du Tribunal fédéral 9C_73/2013 du 2 septembre 2013 consid. 5). 14. 14.1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14.2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t>A/1686/2021 - 15/28 - 14.3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 14.4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w:t>
      </w:r>
    </w:p>
    <w:p>
      <w:r>
        <w:t>A/1686/2021 - 16/28 - ces avis et il y a lieu de mettre en œuvre une expertise par un médecin indépendant selon la procédure de l'art. 44 LPGA ou une expertise judiciaire (ATF 139 V 225 consid. 5.2 et les références ; ATF 135 V 465 consid. 4). 14.5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14.6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14.7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w:t>
      </w:r>
    </w:p>
    <w:p>
      <w:r>
        <w:t>A/1686/2021 - 17/28 - vérifiables ayant été ignorés dans le cadre de l'expertise et qui sont suffisamment pertinents pour remettre en cause les conclusions de l'expert (arrêt du Tribunal fédéral 9C_369/2008 du 5 mars 2009 consid. 2.2). 15.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16. 16.1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16.2 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w:t>
      </w:r>
    </w:p>
    <w:p>
      <w:r>
        <w:t>A/1686/2021 - 18/28 -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 16.3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w:t>
      </w:r>
    </w:p>
    <w:p>
      <w:r>
        <w:t>A/1686/2021 - 19/28 -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 19.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w:t>
      </w:r>
    </w:p>
    <w:p>
      <w:r>
        <w:t>A/1686/2021 - 20/28 -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20. En l’espèce, il est rappelé que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Or, les appréciations médicales des médecins traitants vont à l’encontre des conclusions prises par les experts du SMR. L’appréciation de l’OAI selon laquelle le diagnostic de fibromyalgie n’est pas incapacitant n’est pas convaincante et ne s’impose pas au degré de la vraisemblance prépondérante. Compte tenu de ces éléments, la chambre de céans n’a d’autre choix que d’ordonner une expertise judiciaire bi disciplinaire et de la confier aux docteurs J______, spécialiste FMH en rhumatologie, et K______, spécialiste FMH en psychiatrie et psychothérapie.</w:t>
      </w:r>
    </w:p>
    <w:p>
      <w:r>
        <w:t>A/1686/2021 - 21/28 -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