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ATAS/145/2020 vom 26. Februar 2020</w:t>
      </w:r>
    </w:p>
    <w:p>
      <w:r>
        <w:t>GE Cour de justice, 2020-02-26, FR</w:t>
      </w:r>
    </w:p>
    <w:p>
      <w:r>
        <w:rPr>
          <w:b/>
        </w:rPr>
        <w:t xml:space="preserve">Quelle: </w:t>
      </w:r>
      <w:r>
        <w:t>https://mcp.opencaselaw.ch/entscheid/ge_gerichte_ATAS_145_2020</w:t>
      </w:r>
    </w:p>
    <w:p>
      <w:r>
        <w:t>FR: GE_GERICHTE ATAS/145/2020 du 26 février 2020</w:t>
      </w:r>
    </w:p>
    <w:p>
      <w:r>
        <w:t>IT: GE_GERICHTE ATAS/145/2020 del 26 febbraio 2020</w:t>
      </w:r>
    </w:p>
    <w:p>
      <w:pPr>
        <w:pStyle w:val="Heading2"/>
      </w:pPr>
      <w:r>
        <w:t>Erwägungen</w:t>
      </w:r>
    </w:p>
    <w:p>
      <w:r>
        <w:rPr>
          <w:b/>
        </w:rPr>
        <w:t>E. 27</w:t>
      </w:r>
    </w:p>
    <w:p>
      <w:r>
        <w:t>Le 3 janvier 2019, l’assurée a formé recours contre la décision de l’OAI. Elle faisait valoir qu’une téléphoniste était assise pour répondre au téléphone et qu’elle ne pouvait rester assise que dix minutes. Elle doutait qu’un employeur l’engage dans ces conditions. Elle vivait actuellement avec CHF 2'000.- par mois et ne pouvait donc pas payer un émolument. Elle ne pouvait toutefois pas accepter la décision de l’OAI qu’elle lui demandait de revoir.</w:t>
      </w:r>
    </w:p>
    <w:p>
      <w:r>
        <w:rPr>
          <w:b/>
        </w:rPr>
        <w:t>E. 28</w:t>
      </w:r>
    </w:p>
    <w:p>
      <w:r>
        <w:t>Le 4 février 2019, l’OAI a conclu au rejet du recours. Les limitations de la recourante ne représentaient pas des mesures d’épargne inhabituelles et ne requéraient pas des aménagements ou des concessions irréalistes de la part d’un employeur. Le fait d’avoir limité la position assise ne voulait pas dire qu’après avoir été assise, l’assurée doive impérativement rester debout ou marcher pendant une demi-heure avant de pouvoir se rasseoir, mais cela signifiait que le poste de travail devait offrir la possibilité à l’assurée de se lever et faire quelques pas avant de reprendre place. Cela s’apparentait plutôt à l’exigence d’alterner les positions (arrêt du Tribunal fédéral 8C_926/2011 du 7 décembre 2012 consid. 2.3).</w:t>
      </w:r>
    </w:p>
    <w:p>
      <w:r>
        <w:rPr>
          <w:b/>
        </w:rPr>
        <w:t>E. 29</w:t>
      </w:r>
    </w:p>
    <w:p>
      <w:r>
        <w:t>Le 25 février 2019, la recourante, assistée par Inclusion Handicap, a persisté dans son recours, faisant valoir que son état de santé somatique n’avait pas été suffisamment investigué. La Dresse C______ avait fait part à l’OAI non seulement de la problématique de la coxarthrose, mais également de la gonarthrose et des lombalgies chroniques. Si elle avait considéré que ces éléments limitaient à 50% sa capacité de travail résiduelle dans une activité adaptée comme dans son activité habituelle, elle ne semblait pas avoir rendu un rapport justifiant en détail sa</w:t>
      </w:r>
    </w:p>
    <w:p>
      <w:r>
        <w:t>A/61/2019 - 9/15 - position. Le SMR n’avait pas procédé à son examen et faisait fi des douleurs qu’elle avait exprimées. Il n’avait pas non plus tenu compte du rapport d’IRM du mois de mai 2018, qui constatait une sévère atteinte au rachis. En retenant uniquement la question de la coxarthrose, le SMR s’était prononcé sur des bases lacunaires et en avait tiré des conclusions erronées sur sa capacité de travail. Il appartenait à l’OAI de requérir de son SMR un examen complet de la situation ou de mandater un expert neutre. La recourante concluait, avec suite de frais et dépens, à l’annulation de la décision du 7 décembre 2018 et au renvoi du dossier à l’OAI pour examen complet de sa situation médicale et nouvelle décision.</w:t>
      </w:r>
    </w:p>
    <w:p>
      <w:r>
        <w:rPr>
          <w:b/>
        </w:rPr>
        <w:t>E. 30</w:t>
      </w:r>
    </w:p>
    <w:p>
      <w:r>
        <w:t>ans. Il s'agit d'un groupe. On se téléphone énormément et parfois, on fait des pique-niques ensemble. Je ne vois pas ma fille. Je suis en revanche en contact avec ma sœur et ma cousine que je vois régulièrement. »</w:t>
      </w:r>
    </w:p>
    <w:p>
      <w:r>
        <w:rPr>
          <w:b/>
        </w:rPr>
        <w:t>E. 31</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Sa compétence pour juger du cas d’espèce est ainsi établie. 3. Interjeté dans la forme et le délai prévus par la loi, compte tenu de la suspension des délais pendant la période du 18 décembre au 2 janvier inclusivement (art. 38 al. 4 let. c LPGA et art. 89C let. c LPA), le recours est recevable (art. 56 ss LPGA et 62 ss LPA). 4. Le litige porte sur le droit de la recourante aux prestations de l’intimé.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A/61/2019 - 11/15 -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w:t>
      </w:r>
    </w:p>
    <w:p>
      <w:r>
        <w:t>A/61/2019 - 12/15 -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A/61/2019 - 13/15 -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A/61/2019 - 14/15 -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l’OAI a retenu une capacité entière de travail de l’assurée dans une activité adaptée à ses limitations dès le 25 avril 2016, sur la base d’un avis du SMR du 15 octobre 2018, qui retenait une capacité entière dans toute activité adaptée aux limitations fonctionnelles de celle-ci dès le 25 avril 2016. Or, dans son premier rapport du 10 août 2016, le Dr B______ avait estimé qu’en l’état, une reprise d’activité n’était pas possible, réservant un nouveau bilan dans quatre mois. Ce n’est que dans son second rapport du 16 mai 2017 que le Dr B______ a retenu une capacité de travail dans une activité adaptée, sur le plan psychique, en relevant que les plaintes de l’assurée portaient essentiellement sur le plan somatique. Les conclusions du SMR sur la capacité de travail sont également remises en cause par le médecin traitant de l’assurée, la Dresse C______, qui retenait, le 5 juin 2018, que l’assurée avait été totalement incapable de travailler du 25 avril 2016 au 24 avril 2018 et qu’elle était actuellement capable de travailler à 50% dans une activité adaptée. Tant les rapports du SMR que ceux de la Dresse C______ ne répondent pas aux réquisits leur permettant de se voir reconnaître pleine valeur probante. Il en résulte que le dossier n’a pas été suffisamment instruit par l’OAI. Il se justifie, notamment, dans le cas d’espèce que la recourante fasse l’objet d’une expertise rhumatologique par un médecin indépendant. 10. La recourante obtenant gain de cause et étant assistée d’un conseil, elle a droit à des dépens qui seront fixés à CHF 1'500.- (art. 61 let. g LPGA). 11. Un émolument de CHF 500.- sera mis à la charge de l'intimé (art. 69 al. 1bis LAI).</w:t>
      </w:r>
    </w:p>
    <w:p>
      <w:r>
        <w:t>A/61/2019 - 15/15 -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