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ATAS/145/2018 vom 20. Februar 2018</w:t>
      </w:r>
    </w:p>
    <w:p>
      <w:r>
        <w:t>GE Cour de justice, 2018-02-20, FR</w:t>
      </w:r>
    </w:p>
    <w:p>
      <w:r>
        <w:rPr>
          <w:b/>
        </w:rPr>
        <w:t xml:space="preserve">Quelle: </w:t>
      </w:r>
      <w:r>
        <w:t>https://mcp.opencaselaw.ch/entscheid/ge_gerichte_ATAS_145_2018</w:t>
      </w:r>
    </w:p>
    <w:p>
      <w:r>
        <w:t>FR: GE_GERICHTE ATAS/145/2018 du 20 février 2018</w:t>
      </w:r>
    </w:p>
    <w:p>
      <w:r>
        <w:t>IT: GE_GERICHTE ATAS/145/2018 del 20 febbraio 2018</w:t>
      </w:r>
    </w:p>
    <w:p>
      <w:pPr>
        <w:pStyle w:val="Heading2"/>
      </w:pPr>
      <w:r>
        <w:t>Erwägungen</w:t>
      </w:r>
    </w:p>
    <w:p>
      <w:r>
        <w:rPr>
          <w:b/>
        </w:rPr>
        <w:t>E. 1</w:t>
      </w:r>
    </w:p>
    <w:p>
      <w:r>
        <w:t>Conformément à l'art. 134 al. 1 let. a ch. 2 de la loi sur l'organisation judiciaire, du 26 septembre 2010 (LOJ - E 2 05), la chambre des assurances sociales de la Cour</w:t>
      </w:r>
    </w:p>
    <w:p>
      <w:r>
        <w:t>A/4617/2017 - 10/16 -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 - E 5 10]). Le délai de recours court dès le lendemain de la notification de la décision (art. 38 al. 1 LPGA et art. 62 al. 3 LPA-GE dans le même sens). Lorsque le délai échoit un samedi, un dimanche ou un jour férié selon le droit fédéral ou cantonal, son terme est reporté au premier jour ouvrable qui suit (art. 38 al. 3, 1ère phrase LPGA applicable par renvoi de l’art. 60 al. 2 LPGA; cf. également art. 17 al. 3 LPA-GE). En l'espèce, la décision ayant été expédiée le 18 octobre 2017 et reçue le lendemain, le délai de recours a débuté le 20 octobre 2017 et est arrivé à échéance le samedi 18 novembre 2017, respectivement le lundi 20 novembre 2017 compte tenu des principes susmentionnés. Interjeté dans la forme et le délai prévus par la loi, le recours est recevable (art. 56 ss LPGA et 89B LPA-GE).</w:t>
      </w:r>
    </w:p>
    <w:p>
      <w:r>
        <w:rPr>
          <w:b/>
        </w:rPr>
        <w:t>E. 4</w:t>
      </w:r>
    </w:p>
    <w:p>
      <w:r>
        <w:t>Est litigieux le droit du recourant à l'assistance juridique à partir du 31 août 2017, requise après communication par l’intimé du rapport d’expertise de la CRR faisant suite au renvoi par la chambre de céans pour instruction complémentaire.</w:t>
      </w:r>
    </w:p>
    <w:p>
      <w:r>
        <w:rPr>
          <w:b/>
        </w:rPr>
        <w:t>E. 5</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3ème éd., 2013, n. 1619).</w:t>
      </w:r>
    </w:p>
    <w:p>
      <w:r>
        <w:t>A/4617/2017 - 11/16 -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w:t>
      </w:r>
    </w:p>
    <w:p>
      <w:r>
        <w:rPr>
          <w:b/>
        </w:rPr>
        <w:t>E. 6</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w:t>
      </w:r>
    </w:p>
    <w:p>
      <w:r>
        <w:t>A/4617/2017 - 12/16 -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7</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 arrêt du Tribunal fédéral 8C_297/2008, op. cit., consid. 3.3).</w:t>
      </w:r>
    </w:p>
    <w:p>
      <w:r>
        <w:rPr>
          <w:b/>
        </w:rPr>
        <w:t>E. 8</w:t>
      </w:r>
    </w:p>
    <w:p>
      <w:r>
        <w:t>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w:t>
      </w:r>
    </w:p>
    <w:p>
      <w:r>
        <w:t>A/4617/2017 - 13/16 -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 arrêt du Tribunal fédéral 9C_105/2007 du 13 novembre 2007 consid. 3.1). b. En l'espèce, le recourant sollicite l'assistance juridique après réception du rapport d’expertise du 20 juin 2017 faisant suite au renvoi de la cause par la chambre de céans pour instruction complémentaire. Il fait grief aux experts de ne pas avoir comparé son état de santé, respectivement sa capacité de travail entre la décision d’octroi de rente et ladite expertise. Au vu de la jurisprudence susmentionnée, la nature du litige concernant le droit à une rente d’invalidité ne permet pas d’admettre que la situation juridique du recourant est susceptible d’être touchée gravement, de sorte que l’assistance juridique n’apparaît pas d’emblée comme nécessaire. Contrairement à ce que soutient le recourant, la procédure d’instruction est normale, puisqu’à la suite de l’arrêt de la chambre de céans du 30 août 2016 renvoyant la cause à l’intimé pour compléter l’instruction médicale du dossier sur divers points, notamment sur les nouveaux diagnostics posés par les divers médecins, l’intimé a mis en œuvre une expertise pluridisciplinaire en communiquant au recourant le nom du centre d’expertise, les questions posées aux experts et le nom de ces derniers, puis il lui a transmis le rapport d’expertise, selon la procédure habituelle. Le fait que l’intimé n’ait pas encore émis une nouvelle décision quinze mois après l’arrêt de renvoi n’a rien d’extraordinaire au vu de la mise en œuvre de l’expertise pluridisciplinaire. Dès lors, il convient d'examiner si, concrètement, l’appréciation de la valeur probante de l’expertise pluridisciplinaire et de la modification de l’état de santé du recourant, respectivement de sa capacité de travail entre la décision d’octroi d’une rente entière d’invalidité et la date de l’expertise, la date de cet éventuel changement, la nécessité ou non d’un motif de révision pour procéder à une révision de la rente d’invalidité au regard des diagnostics retenus après expertise pluridisciplinaire entraînent des difficultés telles, d'un point de vue objectif, que le recours à un avocat se justifie. Sur le plan médical, se posent les questions des troubles et diagnostics incapacitants, de la détermination de la capacité de travail du recourant dans une activité adaptée tenant compte de ses limitations fonctionnelles, de l’évolution de son état de santé et de sa capacité de travail entre la date de la décision d’octroi de rente et celle de l’expertise. Contrairement à ce que soutient l’intimé, l’état de fait est complexe sur le plan médical puisque la chambre de céans a dû lui renvoyer le dossier pour instruction complémentaire au vu des avis médicaux divergents émis par les médecins et experts sur le point de savoir si les nombreux troubles dont souffre le recourant sont incapacitants, respectivement dans quelle mesure, et s’ils</w:t>
      </w:r>
    </w:p>
    <w:p>
      <w:r>
        <w:t>A/4617/2017 - 14/16 - relèvent de la sphère somatique ou psychique ou des deux (cf. ATAS/677/2016 consid. 5b et c). Le rapport d’expertise de la CRR du 20 juin 2017 retient une capacité de travail nulle dans l’activité habituelle et de 50 % dans une activité adaptée en raison principalement des troubles des épaules et du poignet gauche, ainsi que des lombalgies, sans toutefois indiquer depuis quand la capacité de travail est nulle dans l’activité habituelle, respectivement de 50 % dans une activité adaptée. Sur le plan juridique, la question de l’évaluation de la capacité de travail du recourant dans une activité adaptée ne présente pas de difficultés rendant nécessaire l’assistance d’un avocat et peut être appréciée par ses divers médecins. Toutefois, le recourant fait grief aux experts de ne pas avoir comparé son état de santé entre la date de la décision d’octroi de rente et celle du rapport d’expertise. Or, il s’agit d’une question juridique prépondérante (cf. ATF 125 V 369 consid. 2), qui doit permettre de déterminer si, depuis l’octroi de la rente d’invalidité, il y a eu une modification sensible de l’état de santé ou de ses conséquences sur la capacité de gain – auquel cas la rente peut être révisée (ATF 134 V 131 consid. 3 ; ATF 130 V 343 consid. 3.5) –, ou s’il s’agit d’une nouvelle évaluation du cas alors que les circonstances sont demeurées inchangées – auquel cas la rente ne peut pas être révisée (ATF 141 V 9 consid. 2.3 ; ATF 112 V 371 consid. 2b ; ATF 112 V 387 consid. 1b). Par conséquent, la question de savoir si les conditions de révision du droit à la rente sont réalisées est une notion juridique complexe nécessitant des connaissances en droit des assurances sociales spécifiques afin de pouvoir distinguer ces deux cas de figure. Par ailleurs dans le cas du recourant, l’intimé considère que la rente initiale a été accordée en raison d’un syndrome sans pathogenèse ni étiologie claires et sans constat de déficit organique, soit une situation permettant un réexamen de la rente et une réduction de celle-ci sans que les conditions d’une révision ne soient remplies (dispositions finales lettre a de la 6ème révision de la LAI). Or, le prononcé du 17 décembre 2003 allouant la rente entière d’invalidité ne donne aucun renseignement sur l’atteinte à la santé entraînant une incapacité de travail totale dès le 28 septembre 1998. De plus, les rapports médicaux de l’époque mentionnent tantôt des troubles somatiques à l’origine de l’invalidité (lombalgies, amyotrophie du quadriceps droit, périarthropathie), tantôt des troubles psychiques (trouble mixte de la personnalité à traits quérulents et anankastiques), étant précisé que l’intimé semble avoir accordé dans un premier temps une demi-rente d’invalidité sur la base des troubles somatiques avant d’annuler son prononcé et d’allouer une rente entière d’invalidité. En outre, le Dr N______, qui traite le recourant depuis mars 2004, conteste l’existence tant d’un trouble somatoforme douloureux persistant que des troubles de la personnalité quérulente et anankastique, en motivant son point de vue de façon circonstanciée, appréciation que semble d’ailleurs confirmer le dernier rapport d’expertise de la CRR. En effet, ce dernier ne retient aucun de ces diagnostics, sans qu’il ne soit possible à la lecture dudit rapport de savoir s’il s’agit d’une amélioration de l’état de santé du recourant ou si ces diagnostics n’existaient pas</w:t>
      </w:r>
    </w:p>
    <w:p>
      <w:r>
        <w:t>A/4617/2017 - 15/16 - lors de l’octroi de la rente. Enfin, le SMR considère que le rapport de la CRR a une entière valeur probante alors que des questions médicales restent non résolues, et fixe la date de la capacité de travail de 50 % à partir de l’année 2013 au motif qu’il y aurait eu une amélioration de l’état psychique du recourant à ce moment-là, ce qui ne ressort pas du rapport du psychiatre traitant. Au vu de ces divers éléments, les circonstances exceptionnelles justifiant l’assistance d’un avocat sont réalisées. Au surplus, les parties s’accordent à juste titre sur les chances de succès du recourant et son indigence. En effet, dans la mesure où le rapport d’expertise ne se prononce pas sur la modification de l’état de santé du recourant depuis la décision d’octroi de rente jusqu’à l’examen par les experts, respectivement sur l’existence des troubles psychiques à la date de la décision d’octroi de rente et sur la date à partir de laquelle la capacité de travail du recourant dans une activité adaptée est de 50 %, il manque des éléments médicaux indispensables pour statuer sur les conditions d’une modification de la rente et pour réviser cette dernière. Par ailleurs, le recourant bénéficie de l’aide sociale. En définitive, la difficulté relative du cas, ainsi que la complexité de l'état de fait et des questions de droit nécessitent l’assistance d’un avocat déjà au stade de la procédure d’instruction de la procédure de révision. En effet, le recourant n'est pas apte à y faire face seul ou avec l’aide d’un assistant social ou de son médecin traitant, car ceux-ci ne disposent pas des connaissances juridiques requises pour vérifier que l’administration traite son cas en conformité avec la jurisprudence. Aussi se trouve-t-on en présence de circonstances exceptionnelles rendant objectivement nécessaire l'assistance d'un avocat durant la procédure administrative. Étant donné que toutes les conditions cumulatives requises pour l’octroi de l’assistance juridique sont réalisées, il y a lieu de mettre le recourant au bénéfice de celle-ci au stade de la procédure administrative et ce dès le 31 août 2017.</w:t>
      </w:r>
    </w:p>
    <w:p>
      <w:r>
        <w:rPr>
          <w:b/>
        </w:rPr>
        <w:t>E. 9</w:t>
      </w:r>
    </w:p>
    <w:p>
      <w:r>
        <w:t>Au vu de ce qui précède, le recours sera admis et la décision du 18 octobre 2017 sera annulée. Le recourant étant représenté par un avocat et obtenant gain de cause, une indemnité de CHF 1'500.- lui sera accordée à titre de participation à ses frais et dépens (art. 61 let. g LPGA ; art. 6 du règlement sur les frais, émoluments et indemnités en matière administrative du 30 juillet 1986 [RFPA - E 5 10.03]).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w:t>
      </w:r>
    </w:p>
    <w:p>
      <w:r>
        <w:t>A/4617/2017 - 16/16 -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