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ATAS/145/2015 vom 25. Februar 2015</w:t>
      </w:r>
    </w:p>
    <w:p>
      <w:r>
        <w:t>GE Cour de justice, 2015-02-25, FR</w:t>
      </w:r>
    </w:p>
    <w:p>
      <w:r>
        <w:rPr>
          <w:b/>
        </w:rPr>
        <w:t xml:space="preserve">Quelle: </w:t>
      </w:r>
      <w:r>
        <w:t>https://mcp.opencaselaw.ch/entscheid/ge_gerichte_ATAS_145_2015</w:t>
      </w:r>
    </w:p>
    <w:p>
      <w:r>
        <w:t>FR: GE_GERICHTE ATAS/145/2015 du 25 février 2015</w:t>
      </w:r>
    </w:p>
    <w:p>
      <w:r>
        <w:t>IT: GE_GERICHTE ATAS/145/2015 del 25 febbraio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du 23 septembre 2014 contre la décision sur opposition du 20 août 2014, notifiée le 28 août 2014, est recevable en vertu des art. 56ss LPGA.</w:t>
      </w:r>
    </w:p>
    <w:p>
      <w:r>
        <w:rPr>
          <w:b/>
        </w:rPr>
        <w:t>E. 3</w:t>
      </w:r>
    </w:p>
    <w:p>
      <w:r>
        <w:t>a. Concernant l’objet du litige, il y a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 ATF 125 V 413 consid. 1a et les références citées). L’objet de la contestation est le</w:t>
      </w:r>
    </w:p>
    <w:p>
      <w:r>
        <w:t>A/2876/2014 - 8/14 - rapport juridique visé par la décision (arrêt du Tribunal fédéral 9C_598/2011 du 19 avril 2012 consid. 3.1). En l’occurrence, la décision litigieuse du 20 août 2014 rejette l’opposition du recourant et confirme la décision du 23 juillet 2014, laquelle ne porte que sur l’indemnité pour atteinte à l’intégrité. Compte tenu du fait que le recourant a fait valoir d’autres prétentions à l’appui de son opposition, notamment le droit à des mesures professionnelles et à des indemnités journalières, l’intimée a précisé, dans sa décision sur opposition, qu’il lui incomberait d’examiner le droit à une rente d’invalidité transitoire et de rendre sur ce point une décision formelle sujette à opposition. Partant, les conclusions du recourant tendant à l’octroi de prestations au-delà du 1er juillet 2014 sont irrecevables, dès lors que le litige porte uniquement sur l’indemnité pour atteinte à l’intégrité. b. Aux termes de l’art. 49 al. 1 LPGA, l’assureur doit rendre par écrit les décisions qui portent sur des prestations, créances ou injonctions importantes ou avec lesquelles l’intéressé n’est pas d’accord. L’al. 2 précise que si le requérant rend vraisemblable un intérêt digne d’être protégé, l’assureur rend une décision en constatation. Selon l’al. 3, les décisions indiquent les voies de droit. Elles doivent être motivées si elles ne font pas entièrement droit aux demandes des parties. L’importance d’une suppression de prestations temporaires (indemnités journalières,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C’est pourquoi, en cas de suspension du traitement médical ou de l’indemnité journalière, l’assureur doit liquider le cas en rendant une décision formelle et ne peut pas le faire selon une procédure informelle (ATF 132 V 412 consid. 4). Selon la jurisprudence, celui qui entend contester le refus, total ou partiel, de prestations communiqué à tort selon une procédure simplifiée, sans décision formelle, doit en principe le déclarer dans un délai d’une année. L’assureur doit alors rendre une décision formelle, contre laquelle la procédure d’opposition est ouverte (arrêt du Tribunal fédéral 8C_63/08 du 12 mars 2008 consid. 2). En l’espèce, la chambre de céans relève que le courrier du 7 avril 2014 par lequel l’intimée a avisé le recourant qu’elle mettrait fin au versement de l’indemnité journalière à compter du 30 juin 2014 et prendrait uniquement en charge des traitements antalgiques et un contrôle annuel chez un spécialiste, n’est pas une décision formelle. Or, le recourant conteste non seulement la suppression des indemnités journalières, mais également celle du traitement médical puisqu’il allègue que son état de santé n’est pas stabilisé. De surcroît, il invoque que sa capacité de travail est définitivement limitée dans toute activité, de sorte que se pose la question d’un éventuel droit à une rente. Il appartiendra donc à l’intimée de</w:t>
      </w:r>
    </w:p>
    <w:p>
      <w:r>
        <w:t>A/2876/2014 - 9/14 - se déterminer formellement sur ces points, au moyen d’une décision susceptible d’être contestée par la voie de l’opposition.</w:t>
      </w:r>
    </w:p>
    <w:p>
      <w:r>
        <w:rPr>
          <w:b/>
        </w:rPr>
        <w:t>E. 4</w:t>
      </w:r>
    </w:p>
    <w:p>
      <w:r>
        <w:t>a. Aux termes de l’art. 24 al. 1 LAA, si par suite d’un accident, l’assuré souffre d’une atteinte importante et durable à son intégrité physique, mentale ou psychique, il a droit à une indemnité équitable pour atteinte à l’intégrité. A teneur de l’art. 36 de l’ordonnance sur l’assurance-accidents du 20 décembre 1982 (OLAA ; RS 832.20),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l’OLAA (al. 2). Cette disposition a été jugée conforme à la loi en tant qu’elle définit le caractère durable de l’atteinte (ATF 133 V 224 consid. 2 ; arrêt du Tribunal fédéral des assurances U 401/06 du 12 janvier 2007 consid. 2.2). Ce dernier doit être à tout le moins établi au degré de la vraisemblance prépondérante (ATF 124 V 29 consid. 4b/cc). b.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Depuis le 1er janvier 2008, le montant maximum du gain assuré s’élève à CHF 126'000.- par an et CHF 346.- par jour (art. 22 al. 1 OLAA).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des assurances U 173/00 du 22 septembre 2000 consid. 2 ; RAMA 1998 p. 602).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Cette indemnité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elle se distingue de la réparation morale selon le droit civil, qui n’implique pas une atteinte</w:t>
      </w:r>
    </w:p>
    <w:p>
      <w:r>
        <w:t>A/2876/2014 - 10/14 -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 ATF 113 V 218 consid. 4b et les références ; voir aussi ATF 125 II 169 consid. 2d). c. L’annexe 3 à l’OLAA comporte un barème - reconnu conforme à la loi et non exhaustif (ATF 113 V 218 consid. 2a ; RAMA 1988 p. 236) - des lésions fréquentes et caractéristiques, évaluées en pour cent (ATF 124 V 209 consid. 4bb). Pour les atteintes à l’intégrité spéciales ou qui ne figurent pas dans la liste, le barème est appliqué par analogie, en fonction de la gravité de l’atteinte (ch. 1 al. 2 1ère phrase). Les atteintes à l’intégrité pour lesquelles un taux inférieur à 5 % serait appliqué selon le barème ne donnent droit à aucune indemnité (ch. 1 al. 3). Il faut en conclure qu’une atteinte est réputée importante si elle atteint au moins ce pourcentage (Thomas FREI et Juerg P. BLEUER, Évaluation d’atteintes à l’intégrité multiples, in SUVA Medical 2012, p. 202). d.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A titre d’exemple, les tables d’indemnisation prévoient, concernant le taux d’atteinte à l’intégrité résultant de troubles fonctionnelles des membres supérieurs, qu’une épaule mobile jusqu'à 30º au-dessus de l'horizontale donne droit à un taux de 10%, et qu’une épaule mobile jusqu'à l'horizontale donne droit à un taux de 15 %.</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w:t>
      </w:r>
    </w:p>
    <w:p>
      <w:r>
        <w:t>A/2876/2014 - 11/14 -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A/2876/2014 - 12/14 -</w:t>
      </w:r>
    </w:p>
    <w:p>
      <w:r>
        <w:rPr>
          <w:b/>
        </w:rPr>
        <w:t>E. 7</w:t>
      </w:r>
    </w:p>
    <w:p>
      <w:r>
        <w:t>a. En l’espèce, le recourant a présenté une rupture massive de la coiffe de l’épaule gauche qui a nécessité une arthroscopie, une acromioplastie, une ténodèse du biceps et une suture du sous-scapulaire et du sous-épineux en date du 8 février 2012. A trois mois de l’intervention, le chirurgien a signalé une épaule gelée et le recourant suivait des séances de physiothérapie. Le 31 juillet 2012, après avoir examiné le recourant et rapporté ses plaintes, le Dr J______ a constaté une atrophie musculaire manifeste au niveau de tout le membre supérieur gauche et une discrète amyotrophie du sus-épineux. Il a relevé que la gestuelle du recourant était légèrement diminuée à gauche et que la palpation était douloureuse sur la partie externe de l’épaule et du coude. Il a fait état de douleurs à la mobilisation, d’une importante restriction de la mobilité en particulier dans les mouvements en élévation, ainsi que d’une forte diminution de la force de préhension. A titre de limitations fonctionnelles, il a exclu les activités impliquant des manutentions de charges de plus de 5 kg et l’élévation du bras au-dessus de l’horizontale. Sept mois plus tard, soit le 28 février 2013, le Dr L______ a examiné le recourant et considéré que la situation était stabilisée. Il a constaté une limitation douloureuse de l’élévation active de l’épaule gauche qui atteignait difficilement 110°, une légère diminution de la rotation externe, une amyotrophie modérée du bras gauche et quelques signes d’une épicondylite gauche résiduelle. Il a confirmé que le recourant pourrait exercer un travail ne sollicitant pas le bras gauche au-dessus de l’horizontale, et limité le port de charges à 10 kg. S’agissant du taux de l’indemnité pour atteinte à l’intégrité, il a retenu le taux moyen entre ceux attribués à une épaule mobile jusqu’à 30° au-dessus de l’horizontale (10%) et à une épaule mobile jusqu’à l’horizontale (15%), soit 12,5%. b. S’agissant de l’appréciation médicale, la chambre de céans observe que le rapport final du Dr L______ du 28 février 2013 est basé sur une anamnèse et une analyse complètes du dossier du recourant. L’état de santé de ce dernier a fait l’objet d’examens approfondis, ses plaintes ont été prises en considération et le médecin d’arrondissement a livré des constatations claires, exposant que l’élévation active de l’épaule gauche atteignait difficilement 110° et que la rotation externe était légèrement diminuée (5° de différence avec le côté droit). Aucune pièce produite par-devant la chambre de céans n’est propre à remettre en cause ces observations, ce que le recourant ne fait au demeurant pas. En effet, le rapport du Dr K______ du 1er novembre 2012 et les arrêts de travail signés par le Dr H______ ne comportent aucune indication quant aux limitations physiques présentées par le recourant. S’agissant du rapport du Dr H______ du 20 octobre 2012, il mentionne uniquement qu’un dommage permanent peut être attendu, sans l’évaluer ni préciser la nature des lésions et restrictions résiduelles. Quant à l’appréciation de la Dresse M______ du 3 octobre 2014, laquelle fait notamment état de douleurs, d’impotence fonctionnelle, de rotation interne incomplète et très algique, ainsi que d’un craquement en extension du membre supérieur gauche,</w:t>
      </w:r>
    </w:p>
    <w:p>
      <w:r>
        <w:t>A/2876/2014 - 13/14 - force est de constater que la médecin-traitant ne fournit pas la moindre donnée objective susceptible de contredire les mesures réalisées par le Dr L______. Le taux retenu par le médecin d’arrondissement, soit le taux moyen entre celui attribué à une épaule mobile jusqu’à 30° au-dessus de l’horizontale, à savoir 120°, et celui attribué à une épaule mobile jusqu’à l’horizontale, à savoir 90°, n’est pas critiquable puisqu’il correspond à une mobilité jusqu’à 105°. En outre, aucune aggravation de l’atteinte à l’intégrité n’est à craindre. Au contraire, une légère amélioration spontanée peut être espérée avec le temps. Eu égard à ce qui précède, la chambre de céans attribue une pleine valeur probante au rapport du Dr L______ et confirme le taux de l’indemnité pour atteinte à l’intégrité fixé à 12,5%, ce qui correspond à un montant de CHF 15'750.-.</w:t>
      </w:r>
    </w:p>
    <w:p>
      <w:r>
        <w:rPr>
          <w:b/>
        </w:rPr>
        <w:t>E. 8</w:t>
      </w:r>
    </w:p>
    <w:p>
      <w:r>
        <w:t>Il convient toutefois de constater que, de façon incompréhensible, l'intimée ne s'est à ce jour pas encore prononcée sur l'octroi d'une rente transitoire ou, à défaut, d'une rente définitive au recourant. Il est à cet égard à relever qu'aux termes de l'art. 30 al. 1 de l'ordonnance sur l'assurance-accidents du 20 décembre 1982 (OLAA - RS 832.202,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avec la décision négative de l'AI concernant la réadaptation professionnelle (let. b) ou avec la fixation de la rente définitive (let. c). Selon la jurisprudence, une rente transitoire est allouée pendant toute la durée de la procédure menant à la décision de l'AI; elle concerne la durée totale de cette procédure, y compris lorsqu'il y a recours dès lors que l'obligation de l'assureur-accidents d'allouer ses prestations dépend de la décision de l'assurance- invalidité portant sur le droit de l'assuré aux mesures de réadaptation d'ordre professionnel (arrêt du Tribunal fédéral des assurances du 27 mars 2006 U 434/04 consid. 2). Or, en l'occurrence, l'état est stabilisé et l'intimée a cessé de verser les indemnités journalières depuis juillet 2014. Par ailleurs, le recourant a contesté le refus de l'assurance-invalidité de lui octroyer des mesures d'ordre professionnel par un recours par devant le Tribunal administratif fédéral, procédure qui est encore pendante. Cela étant, il appartient en principe à l'intimée de statuer sur le droit à une rente transitoire.</w:t>
      </w:r>
    </w:p>
    <w:p>
      <w:r>
        <w:rPr>
          <w:b/>
        </w:rPr>
        <w:t>E. 9</w:t>
      </w:r>
    </w:p>
    <w:p>
      <w:r>
        <w:t>Partant, le recours est rejeté. La cause est par ailleurs renvoyée à l'intimée, afin qu'il se prononce sur l'octroi d'une rente au recourant.</w:t>
      </w:r>
    </w:p>
    <w:p>
      <w:r>
        <w:rPr>
          <w:b/>
        </w:rPr>
        <w:t>E. 10</w:t>
      </w:r>
    </w:p>
    <w:p>
      <w:r>
        <w:t>Pour le surplus, la procédure est gratuite (art. 61 let. a LPGA).</w:t>
      </w:r>
    </w:p>
    <w:p>
      <w:r>
        <w:t>A/2876/2014 - 14/14 -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