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ATAS/1459/2009 vom 25. November 2009</w:t>
      </w:r>
    </w:p>
    <w:p>
      <w:r>
        <w:t>GE Cour de justice, 2009-11-25, FR</w:t>
      </w:r>
    </w:p>
    <w:p>
      <w:r>
        <w:rPr>
          <w:b/>
        </w:rPr>
        <w:t xml:space="preserve">Quelle: </w:t>
      </w:r>
      <w:r>
        <w:t>https://mcp.opencaselaw.ch/entscheid/ge_gerichte_ATAS_1459_2009</w:t>
      </w:r>
    </w:p>
    <w:p>
      <w:r>
        <w:t>FR: GE_GERICHTE ATAS/1459/2009 du 25 novembre 2009</w:t>
      </w:r>
    </w:p>
    <w:p>
      <w:r>
        <w:t>IT: GE_GERICHTE ATAS/1459/2009 del 25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LPGA s’applique par conséquent au cas d’espèce. Quoi qu’il en soit, les dispositions de la LPGA en matière de révision ne font que reprendre les anciennes règles prévues à l’art. 41 LAI, de sorte que les principes jurisprudentiels développés dans ce domaine sous le régime de l’ancien droit en vigueur jusqu’au 31 décembre 2002 demeurent applicables (ATF 130 V 349 consid. 3.5). Les règles de procédure s’appliquent quant à elles sans réserve dès le jour de son entrée en vigueur (ATF 117 V 71 consid. 6b).</w:t>
      </w:r>
    </w:p>
    <w:p>
      <w:r>
        <w:rPr>
          <w:b/>
        </w:rPr>
        <w:t>E. 3</w:t>
      </w:r>
    </w:p>
    <w:p>
      <w:r>
        <w:t>Interjeté dans les forme et délai légaux, le recours est recevable.</w:t>
      </w:r>
    </w:p>
    <w:p>
      <w:r>
        <w:rPr>
          <w:b/>
        </w:rPr>
        <w:t>E. 4</w:t>
      </w:r>
    </w:p>
    <w:p>
      <w:r>
        <w:t>Le litige porte sur la suppression, par voie de révision, du droit de la recourante à une rente entière d'invalidité. Plus particulièrement, il s'agit de savoir si son invalidité s'est modifiée depuis le 9 août 2001, de telle manière que le droit à la rente puisse être supprimé.</w:t>
      </w:r>
    </w:p>
    <w:p>
      <w:r>
        <w:rPr>
          <w:b/>
        </w:rPr>
        <w:t>E. 5</w:t>
      </w:r>
    </w:p>
    <w:p>
      <w:r>
        <w:t>L'art. 28 al. 1 LAI, dans sa teneur en vigueur jusqu'au 31 décembre 2003, prévoyait que l'assuré avait droit à une rente entière si son taux d'invalidité était de 66 2/3 % au moins, à une demi-rente s'il était de 50 % au moins et à un quart de rente s'il était de 40 % au moins, sous réserve du cas pénible (al. 1bis). A la suite de l'entrée en vigueur le 1er janvier 2004 des dispositions de la novelle du 21 mars 2003 modifiant la LAI (4e révision), l'échelonnement des rentes a été affiné et le droit à une rente pour cas pénible supprimé. Selon la nouvelle teneur de l'art. 28 al. 1 LAI, l'assuré a droit à une rente entière s'il est invalide à 70 % au moins, à trois-quarts de rente s'il est invalide à 60 % au moins, à une demi-rente s'il est invalide à 50 % au moins ou à un quart de rente s'il est invalide à 40 % au moins.</w:t>
      </w:r>
    </w:p>
    <w:p>
      <w:r>
        <w:t>A/1193/2009 - 12/18 -</w:t>
      </w:r>
    </w:p>
    <w:p>
      <w:r>
        <w:rPr>
          <w:b/>
        </w:rPr>
        <w:t>E. 6</w:t>
      </w:r>
    </w:p>
    <w:p>
      <w:r>
        <w:t>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(1ère phrase). Toutes les autres rentes entières perçues au titre d'une invalidité inférieure à 70 % font l'objet d'une révision dans le délai d'un an dès l'entrée en vigueur de la modification (2e phrase). L'obligation imposée à l'administration de procéder à la révision du droit à la rente perçue au titre d'une invalidité inférieure à 70 % (mais supérieure à 66 2/3 %) et de l'adapter au nouvel échelonnement prévu à l'art. 28 al. 1 LAI résulte directement de la lettre f (2e phrase) des dispositions transitoires de la novelle du 23 mars 2003 modifiant la LAI (arrêt I 586/04 du 27 octobre 2005, consid. 2.2.2, publié in: SVR 2006 IV n° 48 p. 176). Pour autant, cela ne signifie pas que les rentes perçues au titre d'une invalidité de 66 2/3 % au moins et de 70 % au plus par des rentiers qui, au 1er janvier 2004, n'ont pas atteint l'âge de 50 ans, doivent être réduites d'office à compter de cette date à un trois-quarts de rente. Encore faut-il examiner au préalable si les circonstances de fait et de droit se sont modifiées de manière à influencer le degré d'invalidité depuis le moment de la décision initiale de rente et adapter, le cas échéant, le droit à la rente au nouveau taux obtenu (arrêt I 313/04 du</w:t>
      </w:r>
    </w:p>
    <w:p>
      <w:r>
        <w:rPr>
          <w:b/>
        </w:rPr>
        <w:t>E. 11</w:t>
      </w:r>
    </w:p>
    <w:p>
      <w:r>
        <w:t>Au demeurant, le Tribunal constate qu'une procédure en reconsidération ne pouvait entrer en ligne de compte, dès lors qu'il n'y avait pas erreur manifeste dans la décision prise par l'OCAI en 2001. En effet, ce dernier s'était référé à l'expertise du COMAI, laquelle n'était elle-même pas entachée d'erreur manifeste et, de surcroît, ne divergeait pas dans une notable mesure des rapports des Drs R________ et C_________ du 16 octobre 1997 et D_________ et E________ du 21 septembre 1998, ainsi que ceux établis par le médecin-traitant de l'assurée, quant à la fixation de la capacité résiduelle de travail.</w:t>
      </w:r>
    </w:p>
    <w:p>
      <w:r>
        <w:rPr>
          <w:b/>
        </w:rPr>
        <w:t>E. 12</w:t>
      </w:r>
    </w:p>
    <w:p>
      <w:r>
        <w:t>Reste à procéder au calcul du degré d'invalidité de l'assurée.</w:t>
      </w:r>
    </w:p>
    <w:p>
      <w:r>
        <w:rPr>
          <w:b/>
        </w:rPr>
        <w:t>E. 13</w:t>
      </w:r>
    </w:p>
    <w:p>
      <w:r>
        <w:t>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w:t>
      </w:r>
    </w:p>
    <w:p>
      <w:r>
        <w:rPr>
          <w:b/>
        </w:rPr>
        <w:t>E. 14</w:t>
      </w:r>
    </w:p>
    <w:p>
      <w:r>
        <w:t>a) Pour le revenu sans invalidité, il convient de prendre en considération le revenu qu'aurait touché l'assurée en 2008, dans la mesure où il ne peut être tenu compte de l'expertise de la Dresse K________ du 22 septembre 2005, dans laquelle celle-ci avait mentionné que l'état de santé psychique de la recourante s'était amélioré durablement depuis le mois d'avril 2005, comme année de référence pour le calcul du degré d'invalidité. En effet, le Tribunal fédéral, dans un arrêt du 31 août 2007 (I 65/2007), a considéré qu'un rapport du SMR signé par la Dresse K________ avec l'indication "psychiatre FMH" ne pouvait se voir attribuer pleine valeur probante en raison d'une irrégularité d'ordre formel liée à l'utilisation d'un titre auquel ce</w:t>
      </w:r>
    </w:p>
    <w:p>
      <w:r>
        <w:t>A/1193/2009 - 17/18 - médecin ne pouvait prétendre, dès lors qu'au moment de son expertise, elle ne disposait pas d'une autorisation d'exercer une activité à titre de médecin indépendant puisque cette autorisation lui a été délivrée le 25 novembre 2006 seulement. Aussi, l'expertise du 24 novembre 2008, de laquelle il résulte une amélioration notable de l'état de santé de l'assurée et a de surcroît pleine valeur probante, sera prise comme année de référence pour le calcul du degré d'invalidité. Dans le cas particulier, l'assurée, en tant que caissière-vendeuse, percevait en 1997 un revenu mensuel de 3'030 fr. versé 13 fois l'an, soit 39'390 fr. Réactualisé en 2008, ce revenu se serait élevé à 46'208 fr. 45. Pour son activité de concierge, l'assurée percevait en 1995 un revenu annuel de 6'600 fr. Réactualisé, ce montant se serait élevé à 7'897 fr. 95 en 2008. Le montant total pour l'année 2008 est ainsi de 54'106 fr. 40. b) Pour ce qui est du revenu d’invalide, l’assurée n’ayant pas repris d’activité lucrative, il y a lieu de se référer aux données de l’Enquête suisse sur la structure des salaires (ESS). Eu égard à l’activité de substitution dans un emploi adapté à savoir une activité légère sans port de charges ou gestes répétitifs et permettant notamment des changements de positions, le salaire de référence pour les femmes pour les activités simples et répétitives dans le secteur privé (ESS 2006, TA1, p. 25, niveau de qualification 4), s'élève à 39'390 fr., part au 13ème salaire comprise. Ce salaire doit être adapté à l’Indice suisse des salaire nominaux (ISS) en 2008, soit pour les femmes, 1.5 % pour l'année 2007 et 1.8 % pour l'année 2008 et à l’horaire de travail en 2008, soit 41.6 (La Vie économique tableau B.9.2, cf. site de l'Office fédéral de la statistique pour l'année 2008) ainsi qu’à la capacité de travail résiduelle de l’assurée fixée à 80%. Enfin, au vu des limitations fonctionnelles il y a lieu de confirmer l’abattement de 10% auquel a procédé l’OCAI. Le revenu avec invalidité doit dès lors être arrêté à 37'314 fr. 60. Par conséquent, le taux d'invalidité s'élève à 31.03 %, lequel est insuffisant pour ouvrir droit à une rente.</w:t>
      </w:r>
    </w:p>
    <w:p>
      <w:r>
        <w:rPr>
          <w:b/>
        </w:rPr>
        <w:t>E. 15</w:t>
      </w:r>
    </w:p>
    <w:p>
      <w:r>
        <w:t>Vu le manque de motivation de l'assurée, une mesure d'orientation professionnelle ne saurait être mise en place. Il incombe toutefois à celle-ci, sur demande dûment motivée, de requérir auprès de l'Office une aide au placement si elle le souhaite.</w:t>
      </w:r>
    </w:p>
    <w:p>
      <w:r>
        <w:rPr>
          <w:b/>
        </w:rPr>
        <w:t>E. 16</w:t>
      </w:r>
    </w:p>
    <w:p>
      <w:r>
        <w:t>Par conséquent, le recours, mal fondé, sera rejeté et la décision attaquée confirmée. La recourante qui succombe n'aura pas droit à des dépens. Elle sera condamnée à un émolument de 200 fr. selon l'art. 69 al. 1bis LAI.</w:t>
      </w:r>
    </w:p>
    <w:p>
      <w:r>
        <w:t>A/1193/2009 - 18/18 -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