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ATAS/1458/2009 vom 26. November 2009</w:t>
      </w:r>
    </w:p>
    <w:p>
      <w:r>
        <w:t>GE Cour de justice, 2009-11-26, FR</w:t>
      </w:r>
    </w:p>
    <w:p>
      <w:r>
        <w:rPr>
          <w:b/>
        </w:rPr>
        <w:t xml:space="preserve">Quelle: </w:t>
      </w:r>
      <w:r>
        <w:t>https://mcp.opencaselaw.ch/entscheid/ge_gerichte_ATAS_1458_2009</w:t>
      </w:r>
    </w:p>
    <w:p>
      <w:r>
        <w:t>FR: GE_GERICHTE ATAS/1458/2009 du 26 novembre 2009</w:t>
      </w:r>
    </w:p>
    <w:p>
      <w:r>
        <w:t>IT: GE_GERICHTE ATAS/1458/2009 del 26 novembre 2009</w:t>
      </w:r>
    </w:p>
    <w:p>
      <w:pPr>
        <w:pStyle w:val="Heading2"/>
      </w:pPr>
      <w:r>
        <w:t>Erwägungen</w:t>
      </w:r>
    </w:p>
    <w:p>
      <w:r>
        <w:rPr>
          <w:b/>
        </w:rPr>
        <w:t>E. 1</w:t>
      </w:r>
    </w:p>
    <w:p>
      <w:r>
        <w:t>Conformément à l'art. 56V al. 1 let. a ch. 2 de la loi sur l'organisation judiciaire, du 22 novembre 1941 (LOJ; E 2 05), le Tribunal cantonal des assurances sociales connaît en instance unique des contestations prévues à l’art. 56 de la loi fédérale sur</w:t>
      </w:r>
    </w:p>
    <w:p>
      <w:r>
        <w:t>A/225/2009 - 9/14 -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 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 bles pour ce qui a trait au droit à la rente dès cette date.</w:t>
      </w:r>
    </w:p>
    <w:p>
      <w:r>
        <w:rPr>
          <w:b/>
        </w:rPr>
        <w:t>E. 3</w:t>
      </w:r>
    </w:p>
    <w:p>
      <w:r>
        <w:t>Le délai de recours est de 30 jours (art. 60 al. 1 LPGA). La décision date du 8 dé- cembre 2008 et les délais de recours sont suspendus du 18 décembre au 2 janvier inclusivement (art. 38 al. 4 let. c et 60 al. 2 LPGA) de sorte que le recours du 23 janvier 2009 a été formé en temps utile (art. 39 al. 1 et 60 al. 2 LPGA). Interjeté dans la forme et le délai prévus par la loi, le recours est donc recevable (art. 56ss LPGA).</w:t>
      </w:r>
    </w:p>
    <w:p>
      <w:r>
        <w:rPr>
          <w:b/>
        </w:rPr>
        <w:t>E. 4</w:t>
      </w:r>
    </w:p>
    <w:p>
      <w:r>
        <w:t>Le litige porte sur le droit de la recourante à une rente entière de l'assurance- invalidité, notamment sur le caractère invalidant de ses troubles psychiques.</w:t>
      </w:r>
    </w:p>
    <w:p>
      <w:r>
        <w:rPr>
          <w:b/>
        </w:rPr>
        <w:t>E. 5</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 rances sociales doivent procéder à des investigations supplémentaires ou en ordon- 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Lorsque le juge consi- dère que les faits ne sont pas suffisamment élucidés, il peut renvoyer la cause à l’administration pour complément d’instruction ou procéder lui-même à une telle instruction complémentaire (RAMA 1993 p. 136).</w:t>
      </w:r>
    </w:p>
    <w:p>
      <w:r>
        <w:t>A/225/2009 - 10/14 -</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 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 Une expertise médicale établie sur la base d’un dossier peut avoir valeur probante pour autant que celui-ci contienne suffisamment d’appréciations médica- les qui, elles, se fondent sur un examen personnel de l’assuré (cf. RAMA 2001 n° U 438 p. 346 consid. 3d).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celui-ci (ATF 125 V 351 consid. 3b/bb et cc).</w:t>
      </w:r>
    </w:p>
    <w:p>
      <w:r>
        <w:rPr>
          <w:b/>
        </w:rPr>
        <w:t>E. 7</w:t>
      </w:r>
    </w:p>
    <w:p>
      <w:r>
        <w:t>En l’espèce, dans leur rapport d'expertise du 29 septembre 2008, les Drs D_________ et E_________ ont conclu que les cervicalgies chroniques de la re- courante entraînaient une diminution de rendement de 20% dans l’activité de net- toyeuse. En revanche, selon eux, le trouble somatoforme indifférencié, la dysthymie et les traits de personnalité passive agressive n’ont pas d’incidence sur la capacité de travail de l’intéressée. Ces médecins ont relevé que l’importante douleur persis-</w:t>
      </w:r>
    </w:p>
    <w:p>
      <w:r>
        <w:t>A/225/2009 - 11/14 - tante accompagnée de contractures musculaires ne s’explique pas d'un point de vue somatique. Sur le plan psychiatrique, ils n’ont retenu que le diagnostic de dysthy- mie, écartant ceux d’épisode dépressif ou encore de troubles anxieux caractérisés. D’après les experts, en l'absence d'explication somatique des douleurs alléguées, l’inconstance des limitations et l'adhérence incomplète au traitement antalgique conduisent à retenir le diagnostic de trouble somatoforme. Malgré l'attitude prostrée et plaintive par moment de la patiente, ils n'ont pu reconnaître ni une atteinte physi- que, ni une atteinte psychique suffisante pour expliquer ses allégations de douleurs maximales 24 heures sur 24 et la résistance à tout traitement. En l'absence de mala- die psychique invalidante, ils ont estimé que l’on pouvait attendre un effort de vo- lonté de la part de l'assurée. S’agissant de l’examen physique de la recourante, l’expertise contient une anam- nèse; les experts se fondent sur des examens cliniques complets et tiennent compte des plaintes de la recourante. Leurs conclusions finales ont été prises au terme d'une analyse exhaustive du dossier médical et radiologique, en se basant sur les appré- ciations médicales y figurant. De plus, les explications données sur la description et l'appréciation des interférences médicales sont suffisamment claires pour évaluer la situation de la recourante. Les médecins se sont exprimés sur l'évolution de son état de santé et sur sa capacité de travail. Leurs conclusions sont cohérentes et motivées, en tant que, notamment, ils considèrent qu’au vu du bilan radiologique décrit comme normal et de l’absence de troubles neurologiques, les contractures paraver- tébrales ainsi que la discrète diminution de la mobilité segmentaire C2-C3 et C4-C5 n’expliquent pas les douleurs alléguées. Au demeurant, les conclusions des experts du COMAI sont confirmées par celles du Dr C_________ qui, dans son rapport du</w:t>
      </w:r>
    </w:p>
    <w:p>
      <w:r>
        <w:rPr>
          <w:b/>
        </w:rPr>
        <w:t>E. 10</w:t>
      </w:r>
    </w:p>
    <w:p>
      <w:r>
        <w:t>décembre 2007, a observé qu’il n’y avait d'arguments ni anatomiques ni radiolo- giques pour expliquer les douleurs cervico-dorso-lombaires. Il s'ensuit que le volet physique du rapport d'expertise remplit toutes les conditions jurisprudentielles per- mettant de lui reconnaître une pleine valeur probante. Par conséquent, le Tribunal de céans suivra ses conclusions quant à l’absence d’incapacité de travail dans une activité adaptée c'est-à-dire n’impliquant ni gestes répétitifs des membres supé- rieurs ni port de charges supérieures à 10 kilos. En revanche, en ce qui concerne l’analyse de l’état psychique de la recourante, les conclusions des experts ne convainquent pas. En effet, les médecins du COMAI n’expliquent pas pourquoi, bien qu’ils aient constaté la présence de 12 points fi- bromyalgique douloureux sur 18, ils n’ont pas retenu le diagnostic de fibromyalgie mais celui de trouble somatoforme, qui est pourtant un diagnostic posé par exclu- sion. En outre, dans son rapport du 19 février 2009, le Dr F_________ admet que la recourante présente, objectivement, de la tristesse, un ralentissement, des pleurs, une perte de confiance en soi, une perte de plaisir, une diminution de l’aptitude à penser et à se concentrer, des troubles du sommeil, soit des symptômes qui sem- blent bien plus importants qu’une simple dysthymie. Par ailleurs, dans son rapport du 19 janvier 2009, le Dr G_________ diagnostique un épisode dépressif sévère</w:t>
      </w:r>
    </w:p>
    <w:p>
      <w:r>
        <w:t>A/225/2009 - 12/14 - avec symptômes psychotiques et un trouble panique sévère présents depuis 18 mois. Il fait également mention d’hallucinations visuelles et auditives ainsi que d’idées suicidaires sans passage à l’acte. Les attaques de panique sont au surplus confirmées par la Dresse H_________ dans son rapport du 1er décembre 2008 fai- sant suite à l’hospitalisation de la recourante du 11 au 27 novembre 2008 pour soins impossibles à domicile dans le cadre d’un état dépressif sévère. En effet, elle pré- cise que les attaques de panique ont été observées lors dudit séjour. Contrairement à ce que prétend le Dr F_________, l’épisode dépressif sévère avec symptômes psychotiques et le trouble panique sévère sont décrits comme présents depuis l’été 2007, de sorte qu’on ne saurait le suivre lorsqu’il énonce qu’ils seraient réactionnels à la réception de la décision de refus de rente. Au vu des diagnostics complètement opposés, voire contradictoires posés par les experts et le psychiatre traitant et de l’importance de ces divergences, qui dépassent largement la simple différence d’appréciation, le Tribunal de céans constate qu’il n’est en l’état pas en mesure de statuer sur la base des rapports médicaux contenus dans le dossier et qu’il y a lieu de mettre en œuvre une expertise médicale. Dans son écriture du 27 mai 2009, conscient de l’instruction lacunaire du dossier au vu des nouveaux rapports médicaux, l’intimé a suggéré que l’expertise, dans l’éventualité où elle devrait être ordonnée, devrait être confiée au Dr J_________. Cette proposition ne peut pas être retenue car, tout dernièrement, ce médecin a dû renoncer à des mandats confiés par le Tribunal de céans en raison d’une surcharge de travail. 8. Au vu de ce qui précède, il y a lieu d'ordonner une instruction complémentaire sous la forme d'une expertise médicale psychiatrique qui sera confiée à la Dresse K_________, assistée d’un interprète serbo-croate.</w:t>
      </w:r>
    </w:p>
    <w:p>
      <w:r>
        <w:t>A/225/2009 - 13/14 -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